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1E0FD" w14:textId="0AA7C4ED" w:rsidR="0045219A" w:rsidRPr="00740E61" w:rsidRDefault="0045219A" w:rsidP="0045219A">
      <w:pPr>
        <w:pStyle w:val="Heading1"/>
        <w:spacing w:after="120" w:line="240" w:lineRule="atLeast"/>
        <w:jc w:val="center"/>
        <w:rPr>
          <w:rFonts w:ascii="Calibri" w:hAnsi="Calibri" w:cs="Calibri"/>
          <w:sz w:val="28"/>
          <w:szCs w:val="28"/>
        </w:rPr>
      </w:pPr>
      <w:r w:rsidRPr="00740E61">
        <w:rPr>
          <w:rFonts w:ascii="Calibri" w:hAnsi="Calibri" w:cs="Calibri"/>
          <w:sz w:val="28"/>
          <w:szCs w:val="28"/>
        </w:rPr>
        <w:t>Initiating the Networked Improvement Community</w:t>
      </w:r>
      <w:r w:rsidR="00B6334F" w:rsidRPr="00740E61">
        <w:rPr>
          <w:rFonts w:ascii="Calibri" w:hAnsi="Calibri" w:cs="Calibri"/>
          <w:sz w:val="28"/>
          <w:szCs w:val="28"/>
        </w:rPr>
        <w:t xml:space="preserve"> (NIC)</w:t>
      </w:r>
    </w:p>
    <w:p w14:paraId="09F41B8D" w14:textId="7046D8B7" w:rsidR="003109D7" w:rsidRPr="00636B5D" w:rsidRDefault="00966925" w:rsidP="00FA2DBC">
      <w:pPr>
        <w:pStyle w:val="Heading2"/>
        <w:spacing w:after="40" w:line="240" w:lineRule="atLeast"/>
        <w:jc w:val="center"/>
        <w:rPr>
          <w:sz w:val="22"/>
        </w:rPr>
      </w:pPr>
      <w:r>
        <w:rPr>
          <w:sz w:val="22"/>
        </w:rPr>
        <w:t xml:space="preserve">Virtual Meeting </w:t>
      </w:r>
      <w:r w:rsidR="00E72C4D">
        <w:rPr>
          <w:sz w:val="22"/>
        </w:rPr>
        <w:t>Facilitat</w:t>
      </w:r>
      <w:r>
        <w:rPr>
          <w:sz w:val="22"/>
        </w:rPr>
        <w:t>ion</w:t>
      </w:r>
      <w:r w:rsidR="00E72C4D">
        <w:rPr>
          <w:sz w:val="22"/>
        </w:rPr>
        <w:t xml:space="preserve"> Guide</w:t>
      </w:r>
    </w:p>
    <w:p w14:paraId="1E242A72" w14:textId="321EAB1B" w:rsidR="00D0527F" w:rsidRDefault="07E7D29C" w:rsidP="07E7D29C">
      <w:pPr>
        <w:pStyle w:val="Heading2"/>
        <w:spacing w:after="0" w:line="240" w:lineRule="atLeast"/>
        <w:jc w:val="center"/>
        <w:rPr>
          <w:sz w:val="22"/>
          <w:szCs w:val="22"/>
        </w:rPr>
      </w:pPr>
      <w:r w:rsidRPr="07E7D29C">
        <w:rPr>
          <w:sz w:val="22"/>
          <w:szCs w:val="22"/>
        </w:rPr>
        <w:t>[Date], [90</w:t>
      </w:r>
      <w:r w:rsidR="00122C2F">
        <w:rPr>
          <w:sz w:val="22"/>
          <w:szCs w:val="22"/>
        </w:rPr>
        <w:t>-</w:t>
      </w:r>
      <w:r w:rsidRPr="07E7D29C">
        <w:rPr>
          <w:sz w:val="22"/>
          <w:szCs w:val="22"/>
        </w:rPr>
        <w:t>Minute Time Slot]</w:t>
      </w:r>
    </w:p>
    <w:p w14:paraId="69238316" w14:textId="588E6455" w:rsidR="00426968" w:rsidRPr="00426968" w:rsidRDefault="108EE674" w:rsidP="108EE674">
      <w:pPr>
        <w:pStyle w:val="Heading3"/>
        <w:spacing w:before="0" w:after="120" w:line="240" w:lineRule="auto"/>
        <w:rPr>
          <w:sz w:val="22"/>
          <w:szCs w:val="22"/>
        </w:rPr>
      </w:pPr>
      <w:r w:rsidRPr="108EE674">
        <w:rPr>
          <w:sz w:val="22"/>
          <w:szCs w:val="22"/>
        </w:rPr>
        <w:t>Objectives:</w:t>
      </w:r>
    </w:p>
    <w:p w14:paraId="5594F3D8" w14:textId="79C5F346" w:rsidR="108EE674" w:rsidRDefault="07E7D29C" w:rsidP="07E7D29C">
      <w:pPr>
        <w:pStyle w:val="N1-1stBullet"/>
        <w:spacing w:after="20" w:line="240" w:lineRule="exact"/>
        <w:rPr>
          <w:rFonts w:eastAsia="Cambria" w:cs="Cambria"/>
          <w:color w:val="386EA4"/>
        </w:rPr>
      </w:pPr>
      <w:bookmarkStart w:id="0" w:name="_Hlk62819510"/>
      <w:r w:rsidRPr="07E7D29C">
        <w:rPr>
          <w:rFonts w:eastAsia="Cambria" w:cs="Cambria"/>
          <w:color w:val="386EA4"/>
        </w:rPr>
        <w:t xml:space="preserve">Understand how </w:t>
      </w:r>
      <w:r w:rsidR="00122C2F">
        <w:rPr>
          <w:rFonts w:eastAsia="Cambria" w:cs="Cambria"/>
          <w:color w:val="386EA4"/>
        </w:rPr>
        <w:t>N</w:t>
      </w:r>
      <w:r w:rsidRPr="07E7D29C">
        <w:rPr>
          <w:rFonts w:eastAsia="Cambria" w:cs="Cambria"/>
          <w:color w:val="386EA4"/>
        </w:rPr>
        <w:t xml:space="preserve">etworked </w:t>
      </w:r>
      <w:r w:rsidR="00122C2F">
        <w:rPr>
          <w:rFonts w:eastAsia="Cambria" w:cs="Cambria"/>
          <w:color w:val="386EA4"/>
        </w:rPr>
        <w:t>I</w:t>
      </w:r>
      <w:r w:rsidR="00122C2F" w:rsidRPr="07E7D29C">
        <w:rPr>
          <w:rFonts w:eastAsia="Cambria" w:cs="Cambria"/>
          <w:color w:val="386EA4"/>
        </w:rPr>
        <w:t xml:space="preserve">mprovement </w:t>
      </w:r>
      <w:r w:rsidR="00122C2F">
        <w:rPr>
          <w:rFonts w:eastAsia="Cambria" w:cs="Cambria"/>
          <w:color w:val="386EA4"/>
        </w:rPr>
        <w:t>C</w:t>
      </w:r>
      <w:r w:rsidR="00122C2F" w:rsidRPr="07E7D29C">
        <w:rPr>
          <w:rFonts w:eastAsia="Cambria" w:cs="Cambria"/>
          <w:color w:val="386EA4"/>
        </w:rPr>
        <w:t xml:space="preserve">ommunities </w:t>
      </w:r>
      <w:r w:rsidRPr="07E7D29C">
        <w:rPr>
          <w:rFonts w:eastAsia="Cambria" w:cs="Cambria"/>
          <w:color w:val="386EA4"/>
        </w:rPr>
        <w:t>(NICs) accelerate learning</w:t>
      </w:r>
    </w:p>
    <w:p w14:paraId="7FA9686E" w14:textId="79A70237" w:rsidR="108EE674" w:rsidRDefault="07E7D29C" w:rsidP="07E7D29C">
      <w:pPr>
        <w:pStyle w:val="N1-1stBullet"/>
        <w:spacing w:after="20" w:line="240" w:lineRule="exact"/>
        <w:rPr>
          <w:color w:val="386EA4"/>
        </w:rPr>
      </w:pPr>
      <w:r w:rsidRPr="07E7D29C">
        <w:rPr>
          <w:rFonts w:eastAsia="Cambria" w:cs="Cambria"/>
          <w:color w:val="386EA4"/>
        </w:rPr>
        <w:t xml:space="preserve">Understand how an improvement hub is organized and </w:t>
      </w:r>
      <w:r w:rsidR="00122C2F">
        <w:rPr>
          <w:rFonts w:eastAsia="Cambria" w:cs="Cambria"/>
          <w:color w:val="386EA4"/>
        </w:rPr>
        <w:t xml:space="preserve">how it </w:t>
      </w:r>
      <w:r w:rsidRPr="07E7D29C">
        <w:rPr>
          <w:rFonts w:eastAsia="Cambria" w:cs="Cambria"/>
          <w:color w:val="386EA4"/>
        </w:rPr>
        <w:t>operates to support a NIC</w:t>
      </w:r>
    </w:p>
    <w:p w14:paraId="5202E071" w14:textId="6FE86EBC" w:rsidR="108EE674" w:rsidRDefault="07E7D29C" w:rsidP="07E7D29C">
      <w:pPr>
        <w:pStyle w:val="N1-1stBullet"/>
        <w:spacing w:after="20" w:line="240" w:lineRule="exact"/>
        <w:rPr>
          <w:color w:val="386EA4"/>
        </w:rPr>
      </w:pPr>
      <w:r w:rsidRPr="07E7D29C">
        <w:rPr>
          <w:rFonts w:eastAsia="Cambria" w:cs="Cambria"/>
          <w:color w:val="386EA4"/>
        </w:rPr>
        <w:t>Review the key roles of the improvement hub</w:t>
      </w:r>
    </w:p>
    <w:p w14:paraId="76B07407" w14:textId="4D6A816E" w:rsidR="108EE674" w:rsidRDefault="07E7D29C" w:rsidP="07E7D29C">
      <w:pPr>
        <w:pStyle w:val="N1-1stBullet"/>
        <w:spacing w:after="20" w:line="240" w:lineRule="exact"/>
        <w:rPr>
          <w:color w:val="386EA4"/>
        </w:rPr>
      </w:pPr>
      <w:r w:rsidRPr="07E7D29C">
        <w:rPr>
          <w:rFonts w:eastAsia="Cambria" w:cs="Cambria"/>
          <w:color w:val="386EA4"/>
        </w:rPr>
        <w:t>Begin recruiting NIC participants and planning for NIC implementation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328612"/>
        </w:tblBorders>
        <w:tblLook w:val="04A0" w:firstRow="1" w:lastRow="0" w:firstColumn="1" w:lastColumn="0" w:noHBand="0" w:noVBand="1"/>
      </w:tblPr>
      <w:tblGrid>
        <w:gridCol w:w="952"/>
        <w:gridCol w:w="1819"/>
        <w:gridCol w:w="1590"/>
        <w:gridCol w:w="7512"/>
        <w:gridCol w:w="2095"/>
      </w:tblGrid>
      <w:tr w:rsidR="004E02AC" w:rsidRPr="00740E61" w14:paraId="06D83C7E" w14:textId="77777777" w:rsidTr="07E7D29C">
        <w:trPr>
          <w:trHeight w:val="576"/>
          <w:tblHeader/>
        </w:trPr>
        <w:tc>
          <w:tcPr>
            <w:tcW w:w="341" w:type="pct"/>
            <w:tcBorders>
              <w:bottom w:val="single" w:sz="12" w:space="0" w:color="328612"/>
              <w:right w:val="nil"/>
            </w:tcBorders>
            <w:vAlign w:val="center"/>
          </w:tcPr>
          <w:bookmarkEnd w:id="0"/>
          <w:p w14:paraId="3BD3CC6A" w14:textId="0DC1283C" w:rsidR="004E02AC" w:rsidRPr="00740E61" w:rsidRDefault="004E02AC" w:rsidP="00740E61">
            <w:pPr>
              <w:pStyle w:val="TH-TableHeading"/>
              <w:rPr>
                <w:sz w:val="24"/>
                <w:szCs w:val="24"/>
              </w:rPr>
            </w:pPr>
            <w:r w:rsidRPr="00740E61">
              <w:rPr>
                <w:sz w:val="24"/>
                <w:szCs w:val="24"/>
              </w:rPr>
              <w:t>Time</w:t>
            </w:r>
            <w:r w:rsidR="00807BFF" w:rsidRPr="00740E61">
              <w:rPr>
                <w:sz w:val="24"/>
                <w:szCs w:val="24"/>
              </w:rPr>
              <w:t>*</w:t>
            </w:r>
          </w:p>
        </w:tc>
        <w:tc>
          <w:tcPr>
            <w:tcW w:w="651" w:type="pct"/>
            <w:tcBorders>
              <w:left w:val="nil"/>
              <w:bottom w:val="single" w:sz="12" w:space="0" w:color="328612"/>
              <w:right w:val="nil"/>
            </w:tcBorders>
            <w:vAlign w:val="center"/>
          </w:tcPr>
          <w:p w14:paraId="4755DB6B" w14:textId="6B962B91" w:rsidR="004E02AC" w:rsidRPr="00740E61" w:rsidRDefault="004E02AC" w:rsidP="00740E61">
            <w:pPr>
              <w:pStyle w:val="TH-TableHeading"/>
              <w:rPr>
                <w:sz w:val="24"/>
                <w:szCs w:val="24"/>
              </w:rPr>
            </w:pPr>
            <w:r w:rsidRPr="00740E61">
              <w:rPr>
                <w:sz w:val="24"/>
                <w:szCs w:val="24"/>
              </w:rPr>
              <w:t>Topic</w:t>
            </w:r>
          </w:p>
        </w:tc>
        <w:tc>
          <w:tcPr>
            <w:tcW w:w="569" w:type="pct"/>
            <w:tcBorders>
              <w:left w:val="nil"/>
              <w:bottom w:val="single" w:sz="12" w:space="0" w:color="328612"/>
              <w:right w:val="nil"/>
            </w:tcBorders>
            <w:vAlign w:val="center"/>
          </w:tcPr>
          <w:p w14:paraId="43CF7AB4" w14:textId="70EA18C4" w:rsidR="004E02AC" w:rsidRPr="00740E61" w:rsidRDefault="004E02AC" w:rsidP="00740E61">
            <w:pPr>
              <w:pStyle w:val="TH-TableHeading"/>
              <w:rPr>
                <w:sz w:val="24"/>
                <w:szCs w:val="24"/>
              </w:rPr>
            </w:pPr>
            <w:r w:rsidRPr="00740E61">
              <w:rPr>
                <w:sz w:val="24"/>
                <w:szCs w:val="24"/>
              </w:rPr>
              <w:t>Activity</w:t>
            </w:r>
          </w:p>
        </w:tc>
        <w:tc>
          <w:tcPr>
            <w:tcW w:w="2689" w:type="pct"/>
            <w:tcBorders>
              <w:left w:val="nil"/>
              <w:bottom w:val="single" w:sz="12" w:space="0" w:color="328612"/>
              <w:right w:val="nil"/>
            </w:tcBorders>
            <w:vAlign w:val="center"/>
          </w:tcPr>
          <w:p w14:paraId="09A31546" w14:textId="7C03588F" w:rsidR="004E02AC" w:rsidRPr="00740E61" w:rsidRDefault="004E02AC" w:rsidP="00740E61">
            <w:pPr>
              <w:pStyle w:val="TH-TableHeading"/>
              <w:rPr>
                <w:sz w:val="24"/>
                <w:szCs w:val="24"/>
              </w:rPr>
            </w:pPr>
            <w:r w:rsidRPr="00740E61">
              <w:rPr>
                <w:sz w:val="24"/>
                <w:szCs w:val="24"/>
              </w:rPr>
              <w:t>Learning Objectives</w:t>
            </w:r>
          </w:p>
        </w:tc>
        <w:tc>
          <w:tcPr>
            <w:tcW w:w="750" w:type="pct"/>
            <w:tcBorders>
              <w:left w:val="nil"/>
              <w:bottom w:val="single" w:sz="12" w:space="0" w:color="328612"/>
            </w:tcBorders>
            <w:vAlign w:val="center"/>
          </w:tcPr>
          <w:p w14:paraId="5073D5A7" w14:textId="1EE7578B" w:rsidR="004E02AC" w:rsidRPr="00740E61" w:rsidRDefault="004E02AC" w:rsidP="00740E61">
            <w:pPr>
              <w:pStyle w:val="TH-TableHeading"/>
              <w:rPr>
                <w:sz w:val="24"/>
                <w:szCs w:val="24"/>
              </w:rPr>
            </w:pPr>
            <w:r w:rsidRPr="00740E61">
              <w:rPr>
                <w:sz w:val="24"/>
                <w:szCs w:val="24"/>
              </w:rPr>
              <w:t>Resources</w:t>
            </w:r>
          </w:p>
        </w:tc>
      </w:tr>
      <w:tr w:rsidR="004E02AC" w14:paraId="7CF03795" w14:textId="77777777" w:rsidTr="07E7D29C">
        <w:trPr>
          <w:trHeight w:val="782"/>
        </w:trPr>
        <w:tc>
          <w:tcPr>
            <w:tcW w:w="341" w:type="pct"/>
            <w:tcBorders>
              <w:top w:val="single" w:sz="12" w:space="0" w:color="328612"/>
            </w:tcBorders>
            <w:shd w:val="clear" w:color="auto" w:fill="EAF4EF"/>
          </w:tcPr>
          <w:p w14:paraId="6AA02923" w14:textId="54504A8E" w:rsidR="004E02AC" w:rsidRPr="00740E61" w:rsidRDefault="00E86A15" w:rsidP="00740E61">
            <w:pPr>
              <w:pStyle w:val="TableText"/>
              <w:spacing w:line="240" w:lineRule="atLeast"/>
              <w:rPr>
                <w:rFonts w:ascii="Cambria" w:hAnsi="Cambria"/>
                <w:b/>
                <w:color w:val="2F4550"/>
              </w:rPr>
            </w:pPr>
            <w:r w:rsidRPr="00740E61">
              <w:rPr>
                <w:rFonts w:ascii="Cambria" w:hAnsi="Cambria"/>
                <w:b/>
                <w:color w:val="2F4550"/>
              </w:rPr>
              <w:t xml:space="preserve">5 </w:t>
            </w:r>
            <w:r w:rsidR="004E02AC" w:rsidRPr="00740E61">
              <w:rPr>
                <w:rFonts w:ascii="Cambria" w:hAnsi="Cambria"/>
                <w:b/>
                <w:color w:val="2F4550"/>
              </w:rPr>
              <w:t>min.</w:t>
            </w:r>
          </w:p>
        </w:tc>
        <w:tc>
          <w:tcPr>
            <w:tcW w:w="651" w:type="pct"/>
            <w:tcBorders>
              <w:top w:val="single" w:sz="12" w:space="0" w:color="328612"/>
            </w:tcBorders>
            <w:shd w:val="clear" w:color="auto" w:fill="EAF4EF"/>
          </w:tcPr>
          <w:p w14:paraId="1D57081F" w14:textId="45015492" w:rsidR="004E02AC" w:rsidRPr="00740E61" w:rsidRDefault="004E02AC" w:rsidP="00740E61">
            <w:pPr>
              <w:pStyle w:val="TableText"/>
              <w:spacing w:line="240" w:lineRule="atLeast"/>
              <w:rPr>
                <w:rFonts w:ascii="Cambria" w:hAnsi="Cambria"/>
                <w:color w:val="2F4550"/>
              </w:rPr>
            </w:pPr>
            <w:r w:rsidRPr="00740E61">
              <w:rPr>
                <w:rFonts w:ascii="Cambria" w:hAnsi="Cambria"/>
                <w:color w:val="2F4550"/>
              </w:rPr>
              <w:t>Welcome and Introductions</w:t>
            </w:r>
          </w:p>
        </w:tc>
        <w:tc>
          <w:tcPr>
            <w:tcW w:w="569" w:type="pct"/>
            <w:tcBorders>
              <w:top w:val="single" w:sz="12" w:space="0" w:color="328612"/>
            </w:tcBorders>
            <w:shd w:val="clear" w:color="auto" w:fill="EAF4EF"/>
          </w:tcPr>
          <w:p w14:paraId="2EDF5E69" w14:textId="77777777" w:rsidR="004E02AC" w:rsidRPr="00740E61" w:rsidRDefault="004E02AC" w:rsidP="00740E61">
            <w:pPr>
              <w:pStyle w:val="TableText"/>
              <w:spacing w:line="240" w:lineRule="atLeast"/>
              <w:rPr>
                <w:rFonts w:ascii="Cambria" w:hAnsi="Cambria"/>
                <w:color w:val="2F4550"/>
              </w:rPr>
            </w:pPr>
          </w:p>
        </w:tc>
        <w:tc>
          <w:tcPr>
            <w:tcW w:w="2689" w:type="pct"/>
            <w:tcBorders>
              <w:top w:val="single" w:sz="12" w:space="0" w:color="328612"/>
            </w:tcBorders>
            <w:shd w:val="clear" w:color="auto" w:fill="EAF4EF"/>
          </w:tcPr>
          <w:p w14:paraId="4A35B11E" w14:textId="31F36D82" w:rsidR="00A51C35" w:rsidRPr="005020B0" w:rsidRDefault="108EE674" w:rsidP="00740E61">
            <w:pPr>
              <w:pStyle w:val="N1-1stBullet"/>
              <w:spacing w:after="0" w:line="240" w:lineRule="atLeast"/>
            </w:pPr>
            <w:r>
              <w:t>Welcome participants and restate meeting objectives.</w:t>
            </w:r>
          </w:p>
        </w:tc>
        <w:tc>
          <w:tcPr>
            <w:tcW w:w="750" w:type="pct"/>
            <w:tcBorders>
              <w:top w:val="single" w:sz="12" w:space="0" w:color="328612"/>
            </w:tcBorders>
            <w:shd w:val="clear" w:color="auto" w:fill="EAF4EF"/>
          </w:tcPr>
          <w:p w14:paraId="08D8B6FA" w14:textId="01ED840D" w:rsidR="00BB6C66" w:rsidRPr="005020B0" w:rsidRDefault="108EE674" w:rsidP="00740E61">
            <w:pPr>
              <w:pStyle w:val="N1-1stBullet"/>
              <w:spacing w:after="0" w:line="240" w:lineRule="atLeast"/>
            </w:pPr>
            <w:r>
              <w:t>Agenda</w:t>
            </w:r>
          </w:p>
        </w:tc>
      </w:tr>
      <w:tr w:rsidR="00E72C4D" w14:paraId="109A205C" w14:textId="77777777" w:rsidTr="07E7D29C">
        <w:tc>
          <w:tcPr>
            <w:tcW w:w="341" w:type="pct"/>
          </w:tcPr>
          <w:p w14:paraId="6F58F610" w14:textId="2FA6E351" w:rsidR="00E72C4D" w:rsidRPr="00740E61" w:rsidRDefault="108EE674" w:rsidP="108EE674">
            <w:pPr>
              <w:pStyle w:val="TableText"/>
              <w:spacing w:line="240" w:lineRule="atLeast"/>
              <w:rPr>
                <w:rFonts w:ascii="Cambria" w:hAnsi="Cambria"/>
                <w:b/>
                <w:bCs/>
                <w:color w:val="2F4550"/>
              </w:rPr>
            </w:pPr>
            <w:r w:rsidRPr="108EE674">
              <w:rPr>
                <w:rFonts w:ascii="Cambria" w:hAnsi="Cambria"/>
                <w:b/>
                <w:bCs/>
                <w:color w:val="2F4550"/>
              </w:rPr>
              <w:t>40 min.</w:t>
            </w:r>
          </w:p>
        </w:tc>
        <w:tc>
          <w:tcPr>
            <w:tcW w:w="651" w:type="pct"/>
          </w:tcPr>
          <w:p w14:paraId="42E4A9A4" w14:textId="1A36DA0A" w:rsidR="00E72C4D" w:rsidRPr="00740E61" w:rsidRDefault="0014084A" w:rsidP="00740E61">
            <w:pPr>
              <w:pStyle w:val="TableText"/>
              <w:spacing w:line="240" w:lineRule="atLeast"/>
              <w:rPr>
                <w:rFonts w:ascii="Cambria" w:hAnsi="Cambria"/>
                <w:color w:val="2F4550"/>
              </w:rPr>
            </w:pPr>
            <w:r w:rsidRPr="00740E61">
              <w:rPr>
                <w:rFonts w:ascii="Cambria" w:hAnsi="Cambria"/>
                <w:color w:val="2F4550"/>
              </w:rPr>
              <w:t>Introduce the Process for Initiating NIC Membership</w:t>
            </w:r>
          </w:p>
        </w:tc>
        <w:tc>
          <w:tcPr>
            <w:tcW w:w="569" w:type="pct"/>
          </w:tcPr>
          <w:p w14:paraId="594CCCB9" w14:textId="2E6E625E" w:rsidR="00E72C4D" w:rsidRPr="00740E61" w:rsidRDefault="005020B0" w:rsidP="00740E61">
            <w:pPr>
              <w:pStyle w:val="TableText"/>
              <w:spacing w:line="240" w:lineRule="atLeast"/>
              <w:rPr>
                <w:rFonts w:ascii="Cambria" w:hAnsi="Cambria"/>
                <w:color w:val="2F4550"/>
              </w:rPr>
            </w:pPr>
            <w:r w:rsidRPr="00740E61">
              <w:rPr>
                <w:rFonts w:ascii="Cambria" w:hAnsi="Cambria"/>
                <w:color w:val="2F4550"/>
              </w:rPr>
              <w:t>Presentation and Group Discussion</w:t>
            </w:r>
          </w:p>
        </w:tc>
        <w:tc>
          <w:tcPr>
            <w:tcW w:w="2689" w:type="pct"/>
          </w:tcPr>
          <w:p w14:paraId="0F3A6299" w14:textId="466353CD" w:rsidR="00E86A15" w:rsidRPr="004B335E" w:rsidRDefault="108EE674" w:rsidP="00740E61">
            <w:pPr>
              <w:pStyle w:val="N1-1stBullet"/>
              <w:spacing w:after="0" w:line="240" w:lineRule="atLeast"/>
            </w:pPr>
            <w:r>
              <w:t xml:space="preserve">The network lead (i.e., the champion) presents the process of initiating the NIC team using the </w:t>
            </w:r>
            <w:r w:rsidRPr="108EE674">
              <w:rPr>
                <w:i/>
                <w:iCs/>
              </w:rPr>
              <w:t>Initiating the Team</w:t>
            </w:r>
            <w:r>
              <w:t xml:space="preserve"> PowerPoint (PPT) presentation.</w:t>
            </w:r>
          </w:p>
          <w:p w14:paraId="7256AE5E" w14:textId="6B0156F5" w:rsidR="00196916" w:rsidRPr="004B335E" w:rsidRDefault="108EE674" w:rsidP="00740E61">
            <w:pPr>
              <w:pStyle w:val="N1-1stBullet"/>
              <w:spacing w:after="0" w:line="240" w:lineRule="atLeast"/>
            </w:pPr>
            <w:r>
              <w:t>Invite questions, address them, and reach a common understanding of NIC participation and the recruitment process.</w:t>
            </w:r>
          </w:p>
        </w:tc>
        <w:tc>
          <w:tcPr>
            <w:tcW w:w="750" w:type="pct"/>
          </w:tcPr>
          <w:p w14:paraId="026C5233" w14:textId="5C1A1EEE" w:rsidR="00E97B73" w:rsidRPr="005020B0" w:rsidRDefault="108EE674" w:rsidP="00740E61">
            <w:pPr>
              <w:pStyle w:val="N1-1stBullet"/>
              <w:spacing w:after="0" w:line="240" w:lineRule="atLeast"/>
            </w:pPr>
            <w:r>
              <w:t>PPT Presentation</w:t>
            </w:r>
          </w:p>
        </w:tc>
      </w:tr>
      <w:tr w:rsidR="00E72C4D" w14:paraId="03583C1D" w14:textId="77777777" w:rsidTr="07E7D29C">
        <w:tc>
          <w:tcPr>
            <w:tcW w:w="341" w:type="pct"/>
            <w:shd w:val="clear" w:color="auto" w:fill="EAF4EF"/>
          </w:tcPr>
          <w:p w14:paraId="3A574C22" w14:textId="612FA642" w:rsidR="00E72C4D" w:rsidRPr="00740E61" w:rsidRDefault="00DC6DEB" w:rsidP="00740E61">
            <w:pPr>
              <w:pStyle w:val="TableText"/>
              <w:spacing w:line="240" w:lineRule="atLeast"/>
              <w:rPr>
                <w:rFonts w:ascii="Cambria" w:hAnsi="Cambria"/>
                <w:b/>
                <w:color w:val="2F4550"/>
              </w:rPr>
            </w:pPr>
            <w:r w:rsidRPr="00740E61">
              <w:rPr>
                <w:rFonts w:ascii="Cambria" w:hAnsi="Cambria"/>
                <w:b/>
                <w:color w:val="2F4550"/>
              </w:rPr>
              <w:t xml:space="preserve">20 </w:t>
            </w:r>
            <w:r w:rsidR="008D72FA" w:rsidRPr="00740E61">
              <w:rPr>
                <w:rFonts w:ascii="Cambria" w:hAnsi="Cambria"/>
                <w:b/>
                <w:color w:val="2F4550"/>
              </w:rPr>
              <w:t>min.</w:t>
            </w:r>
          </w:p>
        </w:tc>
        <w:tc>
          <w:tcPr>
            <w:tcW w:w="651" w:type="pct"/>
            <w:shd w:val="clear" w:color="auto" w:fill="EAF4EF"/>
          </w:tcPr>
          <w:p w14:paraId="42108C3E" w14:textId="03802BE2" w:rsidR="00E72C4D" w:rsidRPr="00740E61" w:rsidRDefault="0014084A" w:rsidP="00740E61">
            <w:pPr>
              <w:pStyle w:val="TableText"/>
              <w:spacing w:line="240" w:lineRule="atLeast"/>
              <w:rPr>
                <w:rFonts w:ascii="Cambria" w:hAnsi="Cambria"/>
                <w:color w:val="2F4550"/>
              </w:rPr>
            </w:pPr>
            <w:r w:rsidRPr="00740E61">
              <w:rPr>
                <w:rFonts w:ascii="Cambria" w:hAnsi="Cambria"/>
                <w:color w:val="2F4550"/>
              </w:rPr>
              <w:t xml:space="preserve">Identify Potential </w:t>
            </w:r>
            <w:r w:rsidR="005020B0" w:rsidRPr="00740E61">
              <w:rPr>
                <w:rFonts w:ascii="Cambria" w:hAnsi="Cambria"/>
                <w:color w:val="2F4550"/>
              </w:rPr>
              <w:t xml:space="preserve">NIC </w:t>
            </w:r>
            <w:r w:rsidRPr="00740E61">
              <w:rPr>
                <w:rFonts w:ascii="Cambria" w:hAnsi="Cambria"/>
                <w:color w:val="2F4550"/>
              </w:rPr>
              <w:t>Members</w:t>
            </w:r>
          </w:p>
        </w:tc>
        <w:tc>
          <w:tcPr>
            <w:tcW w:w="569" w:type="pct"/>
            <w:shd w:val="clear" w:color="auto" w:fill="EAF4EF"/>
          </w:tcPr>
          <w:p w14:paraId="0FE102D7" w14:textId="5B8EDF33" w:rsidR="00E72C4D" w:rsidRPr="00740E61" w:rsidRDefault="005020B0" w:rsidP="00740E61">
            <w:pPr>
              <w:pStyle w:val="TableText"/>
              <w:spacing w:line="240" w:lineRule="atLeast"/>
              <w:rPr>
                <w:rFonts w:ascii="Cambria" w:hAnsi="Cambria"/>
                <w:color w:val="2F4550"/>
              </w:rPr>
            </w:pPr>
            <w:r w:rsidRPr="00740E61">
              <w:rPr>
                <w:rFonts w:ascii="Cambria" w:hAnsi="Cambria"/>
                <w:color w:val="2F4550"/>
              </w:rPr>
              <w:t>Group Discussion</w:t>
            </w:r>
          </w:p>
        </w:tc>
        <w:tc>
          <w:tcPr>
            <w:tcW w:w="2689" w:type="pct"/>
            <w:shd w:val="clear" w:color="auto" w:fill="EAF4EF"/>
          </w:tcPr>
          <w:p w14:paraId="27251167" w14:textId="778C825B" w:rsidR="00596AAC" w:rsidRPr="004B335E" w:rsidRDefault="07E7D29C" w:rsidP="07E7D29C">
            <w:pPr>
              <w:pStyle w:val="N1-1stBullet"/>
              <w:spacing w:after="0" w:line="240" w:lineRule="atLeast"/>
              <w:rPr>
                <w:rFonts w:asciiTheme="minorHAnsi" w:eastAsiaTheme="minorEastAsia" w:hAnsiTheme="minorHAnsi" w:cstheme="minorBidi"/>
              </w:rPr>
            </w:pPr>
            <w:r w:rsidRPr="07E7D29C">
              <w:rPr>
                <w:rFonts w:eastAsia="Cambria" w:cs="Cambria"/>
              </w:rPr>
              <w:t xml:space="preserve">Hand out the NIC </w:t>
            </w:r>
            <w:r w:rsidR="00481302">
              <w:rPr>
                <w:rFonts w:eastAsia="Cambria" w:cs="Cambria"/>
              </w:rPr>
              <w:t>Improvement</w:t>
            </w:r>
            <w:r w:rsidR="00481302">
              <w:rPr>
                <w:rFonts w:eastAsia="Cambria" w:cs="Cambria"/>
              </w:rPr>
              <w:t xml:space="preserve"> Hub Role Description</w:t>
            </w:r>
            <w:r w:rsidR="00481302">
              <w:rPr>
                <w:rFonts w:eastAsia="Cambria" w:cs="Cambria"/>
              </w:rPr>
              <w:t>s</w:t>
            </w:r>
            <w:r w:rsidRPr="07E7D29C">
              <w:rPr>
                <w:rFonts w:eastAsia="Cambria" w:cs="Cambria"/>
              </w:rPr>
              <w:t>. Give participants time to review the document and ask questions.</w:t>
            </w:r>
          </w:p>
          <w:p w14:paraId="0A9EF898" w14:textId="526B6CA4" w:rsidR="00596AAC" w:rsidRPr="004B335E" w:rsidRDefault="07E7D29C" w:rsidP="07E7D29C">
            <w:pPr>
              <w:pStyle w:val="N1-1stBullet"/>
              <w:spacing w:line="240" w:lineRule="atLeast"/>
              <w:rPr>
                <w:rFonts w:asciiTheme="minorHAnsi" w:eastAsiaTheme="minorEastAsia" w:hAnsiTheme="minorHAnsi" w:cstheme="minorBidi"/>
              </w:rPr>
            </w:pPr>
            <w:r w:rsidRPr="07E7D29C">
              <w:rPr>
                <w:rFonts w:eastAsia="Cambria" w:cs="Cambria"/>
              </w:rPr>
              <w:t xml:space="preserve">Share the Establishing the Improvement Hub </w:t>
            </w:r>
            <w:r w:rsidR="00122C2F">
              <w:rPr>
                <w:rFonts w:eastAsia="Cambria" w:cs="Cambria"/>
              </w:rPr>
              <w:t>D</w:t>
            </w:r>
            <w:r w:rsidR="00122C2F" w:rsidRPr="07E7D29C">
              <w:rPr>
                <w:rFonts w:eastAsia="Cambria" w:cs="Cambria"/>
              </w:rPr>
              <w:t xml:space="preserve">ocument </w:t>
            </w:r>
            <w:r w:rsidRPr="07E7D29C">
              <w:rPr>
                <w:rFonts w:eastAsia="Cambria" w:cs="Cambria"/>
              </w:rPr>
              <w:t>with participants. Complete the table on page 2 to develop a list of improvement hub members to recruit.</w:t>
            </w:r>
            <w:r>
              <w:t xml:space="preserve"> Consider candidates for all positions, including leadership team members, site leads, and end users. Note that multiple people need to be recruited so that diverse stakeholder groups are represented. Categories to consider when ensuring diversity:</w:t>
            </w:r>
          </w:p>
          <w:p w14:paraId="36278985" w14:textId="12B4DF98" w:rsidR="00596AAC" w:rsidRPr="004B335E" w:rsidRDefault="00596AAC" w:rsidP="00740E61">
            <w:pPr>
              <w:pStyle w:val="N2-2ndBullet"/>
              <w:spacing w:after="0" w:line="240" w:lineRule="atLeast"/>
            </w:pPr>
            <w:r w:rsidRPr="004B335E">
              <w:t>P</w:t>
            </w:r>
            <w:r w:rsidR="00BF1F95" w:rsidRPr="004B335E">
              <w:t>erspectives</w:t>
            </w:r>
            <w:r w:rsidRPr="004B335E">
              <w:t xml:space="preserve"> (e.g., members representing important partners such as local schools of education, afterschool organizations, and schools from geographically diverse areas</w:t>
            </w:r>
            <w:r w:rsidR="00BF1F95" w:rsidRPr="004B335E">
              <w:t xml:space="preserve">). Consider members who approach the problem from different </w:t>
            </w:r>
            <w:r w:rsidR="00A522C3" w:rsidRPr="004B335E">
              <w:t>angle</w:t>
            </w:r>
            <w:r w:rsidR="00BF1F95" w:rsidRPr="004B335E">
              <w:t xml:space="preserve">s. </w:t>
            </w:r>
          </w:p>
          <w:p w14:paraId="144012A7" w14:textId="35923474" w:rsidR="00BF1F95" w:rsidRPr="004B335E" w:rsidRDefault="00BF1F95" w:rsidP="00740E61">
            <w:pPr>
              <w:pStyle w:val="N2-2ndBullet"/>
              <w:spacing w:after="0" w:line="240" w:lineRule="atLeast"/>
            </w:pPr>
            <w:r w:rsidRPr="004B335E">
              <w:lastRenderedPageBreak/>
              <w:t>Responsibilities (e.g., members representing different offices within and across agencies such as school finance, instruction, assessment, and human resources)</w:t>
            </w:r>
            <w:r w:rsidR="00524D60" w:rsidRPr="004B335E">
              <w:t>.</w:t>
            </w:r>
          </w:p>
          <w:p w14:paraId="6EA204E3" w14:textId="505E2F3B" w:rsidR="00596AAC" w:rsidRPr="004B335E" w:rsidRDefault="00BF1F95" w:rsidP="00740E61">
            <w:pPr>
              <w:pStyle w:val="N2-2ndBullet"/>
              <w:spacing w:after="0" w:line="240" w:lineRule="atLeast"/>
            </w:pPr>
            <w:r w:rsidRPr="004B335E">
              <w:t xml:space="preserve">Subgroup diversity </w:t>
            </w:r>
            <w:r w:rsidR="00596AAC" w:rsidRPr="004B335E">
              <w:t xml:space="preserve">(e.g., members </w:t>
            </w:r>
            <w:r w:rsidRPr="004B335E">
              <w:t xml:space="preserve">representing racial/ethnic and socioeconomic groups, English </w:t>
            </w:r>
            <w:r w:rsidR="00F97E30" w:rsidRPr="004B335E">
              <w:t>l</w:t>
            </w:r>
            <w:r w:rsidRPr="004B335E">
              <w:t xml:space="preserve">anguage </w:t>
            </w:r>
            <w:r w:rsidR="00F97E30" w:rsidRPr="004B335E">
              <w:t>l</w:t>
            </w:r>
            <w:r w:rsidRPr="004B335E">
              <w:t xml:space="preserve">earners, students with disabilities, homeless and foster students, </w:t>
            </w:r>
            <w:r w:rsidR="005E705A" w:rsidRPr="004B335E">
              <w:t xml:space="preserve">and </w:t>
            </w:r>
            <w:r w:rsidRPr="004B335E">
              <w:t>students of military families, among others</w:t>
            </w:r>
            <w:r w:rsidR="00596AAC" w:rsidRPr="004B335E">
              <w:t>)</w:t>
            </w:r>
            <w:r w:rsidR="006B5179" w:rsidRPr="004B335E">
              <w:t>.</w:t>
            </w:r>
          </w:p>
          <w:p w14:paraId="46369D30" w14:textId="13B7D020" w:rsidR="00DC6DEB" w:rsidRPr="004B335E" w:rsidRDefault="00BF1F95" w:rsidP="00740E61">
            <w:pPr>
              <w:pStyle w:val="N2-2ndBullet"/>
              <w:spacing w:after="0" w:line="240" w:lineRule="atLeast"/>
            </w:pPr>
            <w:r w:rsidRPr="004B335E">
              <w:t>Demographics (e.g., schools representing different neighborhoods or locales)</w:t>
            </w:r>
            <w:r w:rsidR="006B5179" w:rsidRPr="004B335E">
              <w:t>.</w:t>
            </w:r>
          </w:p>
        </w:tc>
        <w:tc>
          <w:tcPr>
            <w:tcW w:w="750" w:type="pct"/>
            <w:shd w:val="clear" w:color="auto" w:fill="EAF4EF"/>
          </w:tcPr>
          <w:p w14:paraId="1F33F096" w14:textId="073A20F3" w:rsidR="108EE674" w:rsidRPr="006C154F" w:rsidRDefault="07E7D29C" w:rsidP="006C154F">
            <w:pPr>
              <w:pStyle w:val="N1-1stBullet"/>
              <w:spacing w:after="0" w:line="240" w:lineRule="atLeast"/>
            </w:pPr>
            <w:r>
              <w:lastRenderedPageBreak/>
              <w:t xml:space="preserve">NIC </w:t>
            </w:r>
            <w:r w:rsidR="00481302">
              <w:t>Improvement Hub Role Descriptions</w:t>
            </w:r>
            <w:bookmarkStart w:id="1" w:name="_GoBack"/>
            <w:bookmarkEnd w:id="1"/>
          </w:p>
          <w:p w14:paraId="38392549" w14:textId="02E56F96" w:rsidR="005020B0" w:rsidRPr="005020B0" w:rsidRDefault="07E7D29C" w:rsidP="07E7D29C">
            <w:pPr>
              <w:pStyle w:val="N1-1stBullet"/>
              <w:spacing w:after="0" w:line="240" w:lineRule="atLeast"/>
            </w:pPr>
            <w:r w:rsidRPr="07E7D29C">
              <w:t>Establishing the Improvement Hub Document</w:t>
            </w:r>
          </w:p>
        </w:tc>
      </w:tr>
      <w:tr w:rsidR="00DC6DEB" w14:paraId="79375FCE" w14:textId="77777777" w:rsidTr="07E7D29C">
        <w:tc>
          <w:tcPr>
            <w:tcW w:w="341" w:type="pct"/>
          </w:tcPr>
          <w:p w14:paraId="4C9AE7BF" w14:textId="2734DA95" w:rsidR="00DC6DEB" w:rsidRPr="00740E61" w:rsidRDefault="00DC6DEB" w:rsidP="00740E61">
            <w:pPr>
              <w:pStyle w:val="TableText"/>
              <w:spacing w:line="240" w:lineRule="atLeast"/>
              <w:rPr>
                <w:rFonts w:ascii="Cambria" w:hAnsi="Cambria"/>
                <w:b/>
                <w:color w:val="2F4550"/>
              </w:rPr>
            </w:pPr>
            <w:r w:rsidRPr="00740E61">
              <w:rPr>
                <w:rFonts w:ascii="Cambria" w:hAnsi="Cambria"/>
                <w:b/>
                <w:color w:val="2F4550"/>
              </w:rPr>
              <w:t>15 min.</w:t>
            </w:r>
          </w:p>
        </w:tc>
        <w:tc>
          <w:tcPr>
            <w:tcW w:w="651" w:type="pct"/>
          </w:tcPr>
          <w:p w14:paraId="6DB95670" w14:textId="32E3D7BD" w:rsidR="00DC6DEB" w:rsidRPr="00740E61" w:rsidRDefault="00382BF6" w:rsidP="00740E61">
            <w:pPr>
              <w:pStyle w:val="TableText"/>
              <w:spacing w:line="240" w:lineRule="atLeast"/>
              <w:rPr>
                <w:rFonts w:ascii="Cambria" w:hAnsi="Cambria"/>
                <w:color w:val="2F4550"/>
              </w:rPr>
            </w:pPr>
            <w:r w:rsidRPr="00740E61">
              <w:rPr>
                <w:rFonts w:ascii="Cambria" w:hAnsi="Cambria"/>
                <w:color w:val="2F4550"/>
              </w:rPr>
              <w:t>Identify</w:t>
            </w:r>
            <w:r w:rsidR="00DC6DEB" w:rsidRPr="00740E61">
              <w:rPr>
                <w:rFonts w:ascii="Cambria" w:hAnsi="Cambria"/>
                <w:color w:val="2F4550"/>
              </w:rPr>
              <w:t xml:space="preserve"> Materials</w:t>
            </w:r>
            <w:r w:rsidRPr="00740E61">
              <w:rPr>
                <w:rFonts w:ascii="Cambria" w:hAnsi="Cambria"/>
                <w:color w:val="2F4550"/>
              </w:rPr>
              <w:t xml:space="preserve"> for NIC Recruitment</w:t>
            </w:r>
          </w:p>
        </w:tc>
        <w:tc>
          <w:tcPr>
            <w:tcW w:w="569" w:type="pct"/>
          </w:tcPr>
          <w:p w14:paraId="7A35EE89" w14:textId="5A3F1083" w:rsidR="00DC6DEB" w:rsidRPr="00740E61" w:rsidRDefault="005020B0" w:rsidP="00740E61">
            <w:pPr>
              <w:pStyle w:val="TableText"/>
              <w:spacing w:line="240" w:lineRule="atLeast"/>
              <w:rPr>
                <w:rFonts w:ascii="Cambria" w:hAnsi="Cambria"/>
                <w:color w:val="2F4550"/>
              </w:rPr>
            </w:pPr>
            <w:r w:rsidRPr="00740E61">
              <w:rPr>
                <w:rFonts w:ascii="Cambria" w:hAnsi="Cambria"/>
                <w:color w:val="2F4550"/>
              </w:rPr>
              <w:t>Group Discussion</w:t>
            </w:r>
          </w:p>
        </w:tc>
        <w:tc>
          <w:tcPr>
            <w:tcW w:w="2689" w:type="pct"/>
          </w:tcPr>
          <w:p w14:paraId="62013F3D" w14:textId="33FDBAD0" w:rsidR="00DC6DEB" w:rsidRPr="004B335E" w:rsidRDefault="07E7D29C" w:rsidP="00740E61">
            <w:pPr>
              <w:pStyle w:val="N1-1stBullet"/>
              <w:spacing w:after="0" w:line="240" w:lineRule="atLeast"/>
            </w:pPr>
            <w:r>
              <w:t>Identify a set of materials for recruiting and onboarding potential new NIC improvement hub participants and other participants (</w:t>
            </w:r>
            <w:r w:rsidR="00371540">
              <w:t xml:space="preserve">Levels </w:t>
            </w:r>
            <w:r>
              <w:t xml:space="preserve">A and B). Materials may include: (1) a one-page summary, (2) a document to answer prospective members’ frequently asked questions, (3) a boilerplate email or letter to be sent to prospective NIC members, and/or (4) an onboarding webinar that describes a NIC and addresses the NIC’s purpose and mission. </w:t>
            </w:r>
          </w:p>
          <w:p w14:paraId="020CF4AF" w14:textId="5DFEC151" w:rsidR="00DC6DEB" w:rsidRPr="004B335E" w:rsidRDefault="07E7D29C" w:rsidP="00740E61">
            <w:pPr>
              <w:pStyle w:val="N1-1stBullet"/>
              <w:spacing w:after="0" w:line="240" w:lineRule="atLeast"/>
            </w:pPr>
            <w:r>
              <w:t>Consider how materials will address diverse and comprehensive membership. For example, materials may need to be created in multiple languages or produced in multiple modes (i.e., electronic and paper copies).</w:t>
            </w:r>
          </w:p>
        </w:tc>
        <w:tc>
          <w:tcPr>
            <w:tcW w:w="750" w:type="pct"/>
          </w:tcPr>
          <w:p w14:paraId="6DF7A07E" w14:textId="4A617470" w:rsidR="00DC6DEB" w:rsidRPr="005020B0" w:rsidRDefault="07E7D29C" w:rsidP="07E7D29C">
            <w:pPr>
              <w:pStyle w:val="N1-1stBullet"/>
              <w:spacing w:after="0" w:line="240" w:lineRule="atLeast"/>
            </w:pPr>
            <w:r>
              <w:t xml:space="preserve">Letter Template to Recruit </w:t>
            </w:r>
            <w:r w:rsidR="00481302">
              <w:t>Improvement Hub</w:t>
            </w:r>
            <w:r>
              <w:t xml:space="preserve"> Members</w:t>
            </w:r>
          </w:p>
          <w:p w14:paraId="46139B3D" w14:textId="3D1FD733" w:rsidR="00DC6DEB" w:rsidRPr="005020B0" w:rsidRDefault="07E7D29C" w:rsidP="07E7D29C">
            <w:pPr>
              <w:pStyle w:val="N1-1stBullet"/>
              <w:spacing w:after="0" w:line="240" w:lineRule="atLeast"/>
            </w:pPr>
            <w:r w:rsidRPr="07E7D29C">
              <w:t xml:space="preserve">Shared Document (e.g., Jamboard, Google Document) to Generate Recruitment Materials </w:t>
            </w:r>
          </w:p>
        </w:tc>
      </w:tr>
      <w:tr w:rsidR="00DC6DEB" w14:paraId="35F5AE03" w14:textId="77777777" w:rsidTr="07E7D29C">
        <w:tc>
          <w:tcPr>
            <w:tcW w:w="341" w:type="pct"/>
            <w:shd w:val="clear" w:color="auto" w:fill="EAF4EF"/>
          </w:tcPr>
          <w:p w14:paraId="0C0626DE" w14:textId="0465859E" w:rsidR="00DC6DEB" w:rsidRPr="00740E61" w:rsidRDefault="00DC6DEB" w:rsidP="00740E61">
            <w:pPr>
              <w:pStyle w:val="TableText"/>
              <w:spacing w:line="240" w:lineRule="atLeast"/>
              <w:rPr>
                <w:rFonts w:ascii="Cambria" w:hAnsi="Cambria"/>
                <w:b/>
                <w:color w:val="2F4550"/>
              </w:rPr>
            </w:pPr>
            <w:r w:rsidRPr="00740E61">
              <w:rPr>
                <w:rFonts w:ascii="Cambria" w:hAnsi="Cambria"/>
                <w:b/>
                <w:color w:val="2F4550"/>
              </w:rPr>
              <w:t>10 min.</w:t>
            </w:r>
          </w:p>
        </w:tc>
        <w:tc>
          <w:tcPr>
            <w:tcW w:w="651" w:type="pct"/>
            <w:shd w:val="clear" w:color="auto" w:fill="EAF4EF"/>
          </w:tcPr>
          <w:p w14:paraId="630DCA05" w14:textId="66FE7664" w:rsidR="00DC6DEB" w:rsidRPr="00740E61" w:rsidRDefault="00DC6DEB" w:rsidP="00740E61">
            <w:pPr>
              <w:pStyle w:val="TableText"/>
              <w:spacing w:line="240" w:lineRule="atLeast"/>
              <w:rPr>
                <w:rFonts w:ascii="Cambria" w:hAnsi="Cambria"/>
                <w:color w:val="2F4550"/>
              </w:rPr>
            </w:pPr>
            <w:r w:rsidRPr="00740E61">
              <w:rPr>
                <w:rFonts w:ascii="Cambria" w:hAnsi="Cambria"/>
                <w:color w:val="2F4550"/>
              </w:rPr>
              <w:t>Next Steps</w:t>
            </w:r>
          </w:p>
        </w:tc>
        <w:tc>
          <w:tcPr>
            <w:tcW w:w="569" w:type="pct"/>
            <w:shd w:val="clear" w:color="auto" w:fill="EAF4EF"/>
          </w:tcPr>
          <w:p w14:paraId="230C0493" w14:textId="23F2C1CA" w:rsidR="00DC6DEB" w:rsidRPr="00740E61" w:rsidRDefault="00DC6DEB" w:rsidP="00740E61">
            <w:pPr>
              <w:pStyle w:val="TableText"/>
              <w:spacing w:line="240" w:lineRule="atLeast"/>
              <w:rPr>
                <w:rFonts w:ascii="Cambria" w:hAnsi="Cambria"/>
                <w:color w:val="2F4550"/>
              </w:rPr>
            </w:pPr>
          </w:p>
        </w:tc>
        <w:tc>
          <w:tcPr>
            <w:tcW w:w="2689" w:type="pct"/>
            <w:shd w:val="clear" w:color="auto" w:fill="EAF4EF"/>
          </w:tcPr>
          <w:p w14:paraId="410C69CA" w14:textId="757AF724" w:rsidR="00DC6DEB" w:rsidRPr="004B335E" w:rsidRDefault="07E7D29C" w:rsidP="00740E61">
            <w:pPr>
              <w:pStyle w:val="N1-1stBullet"/>
              <w:spacing w:after="0" w:line="240" w:lineRule="atLeast"/>
            </w:pPr>
            <w:r>
              <w:t>The champion delegates tasks to develop onboarding and recruitment materials and to recruit NIC participants.</w:t>
            </w:r>
          </w:p>
          <w:p w14:paraId="34D743FC" w14:textId="497113FF" w:rsidR="00DC6DEB" w:rsidRPr="004B335E" w:rsidRDefault="108EE674" w:rsidP="00740E61">
            <w:pPr>
              <w:pStyle w:val="N1-1stBullet"/>
              <w:spacing w:after="0" w:line="240" w:lineRule="atLeast"/>
            </w:pPr>
            <w:r>
              <w:t>Develop a timeline for completing assignments.</w:t>
            </w:r>
          </w:p>
          <w:p w14:paraId="1F183E51" w14:textId="7B84BE14" w:rsidR="00DC6DEB" w:rsidRPr="004B335E" w:rsidRDefault="108EE674" w:rsidP="00740E61">
            <w:pPr>
              <w:pStyle w:val="N1-1stBullet"/>
              <w:spacing w:after="0" w:line="240" w:lineRule="atLeast"/>
            </w:pPr>
            <w:r>
              <w:t xml:space="preserve">Identify a date to hold a NIC </w:t>
            </w:r>
            <w:r w:rsidR="0039093B">
              <w:t xml:space="preserve">introduction meeting </w:t>
            </w:r>
            <w:r>
              <w:t>for new members.</w:t>
            </w:r>
          </w:p>
        </w:tc>
        <w:tc>
          <w:tcPr>
            <w:tcW w:w="750" w:type="pct"/>
            <w:shd w:val="clear" w:color="auto" w:fill="EAF4EF"/>
          </w:tcPr>
          <w:p w14:paraId="001B64C6" w14:textId="77777777" w:rsidR="00DC6DEB" w:rsidRPr="005020B0" w:rsidRDefault="00DC6DEB" w:rsidP="00740E61">
            <w:pPr>
              <w:spacing w:line="240" w:lineRule="atLeast"/>
              <w:rPr>
                <w:rFonts w:ascii="Calibri" w:hAnsi="Calibri" w:cs="Calibri"/>
                <w:sz w:val="22"/>
                <w:szCs w:val="22"/>
              </w:rPr>
            </w:pPr>
          </w:p>
        </w:tc>
      </w:tr>
    </w:tbl>
    <w:p w14:paraId="60536F5A" w14:textId="6EE59EBA" w:rsidR="00B03E1A" w:rsidRPr="00740E61" w:rsidRDefault="00966925" w:rsidP="004B335E">
      <w:pPr>
        <w:pStyle w:val="TF-TblFN"/>
        <w:spacing w:before="40"/>
        <w:rPr>
          <w:rFonts w:ascii="Cambria" w:hAnsi="Cambria"/>
          <w:color w:val="2F4550"/>
          <w:sz w:val="21"/>
          <w:szCs w:val="21"/>
        </w:rPr>
      </w:pPr>
      <w:r w:rsidRPr="00740E61">
        <w:rPr>
          <w:rFonts w:ascii="Cambria" w:hAnsi="Cambria"/>
          <w:color w:val="2F4550"/>
          <w:sz w:val="21"/>
          <w:szCs w:val="21"/>
        </w:rPr>
        <w:t xml:space="preserve">*Times are estimates only. Time may fluctuate </w:t>
      </w:r>
      <w:r w:rsidR="00E028FD" w:rsidRPr="00740E61">
        <w:rPr>
          <w:rFonts w:ascii="Cambria" w:hAnsi="Cambria"/>
          <w:color w:val="2F4550"/>
          <w:sz w:val="21"/>
          <w:szCs w:val="21"/>
        </w:rPr>
        <w:t>based on the</w:t>
      </w:r>
      <w:r w:rsidRPr="00740E61">
        <w:rPr>
          <w:rFonts w:ascii="Cambria" w:hAnsi="Cambria"/>
          <w:color w:val="2F4550"/>
          <w:sz w:val="21"/>
          <w:szCs w:val="21"/>
        </w:rPr>
        <w:t xml:space="preserve"> </w:t>
      </w:r>
      <w:r w:rsidR="00E028FD" w:rsidRPr="00740E61">
        <w:rPr>
          <w:rFonts w:ascii="Cambria" w:hAnsi="Cambria"/>
          <w:color w:val="2F4550"/>
          <w:sz w:val="21"/>
          <w:szCs w:val="21"/>
        </w:rPr>
        <w:t>nature of the discussion, group size,</w:t>
      </w:r>
      <w:r w:rsidRPr="00740E61">
        <w:rPr>
          <w:rFonts w:ascii="Cambria" w:hAnsi="Cambria"/>
          <w:color w:val="2F4550"/>
          <w:sz w:val="21"/>
          <w:szCs w:val="21"/>
        </w:rPr>
        <w:t xml:space="preserve"> and meeting format (e.g., face-to-face vs. virtual).</w:t>
      </w:r>
    </w:p>
    <w:sectPr w:rsidR="00B03E1A" w:rsidRPr="00740E61" w:rsidSect="00BD5A05">
      <w:headerReference w:type="default" r:id="rId11"/>
      <w:footerReference w:type="default" r:id="rId12"/>
      <w:headerReference w:type="first" r:id="rId13"/>
      <w:footerReference w:type="first" r:id="rId14"/>
      <w:pgSz w:w="15840" w:h="12240" w:orient="landscape" w:code="1"/>
      <w:pgMar w:top="720" w:right="792" w:bottom="720" w:left="1080" w:header="360" w:footer="50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BC3" w16cex:dateUtc="2022-06-10T16:46:00Z"/>
  <w16cex:commentExtensible w16cex:durableId="264DBD11" w16cex:dateUtc="2022-06-10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504BC" w16cid:durableId="264DBBC3"/>
  <w16cid:commentId w16cid:paraId="1F8DF469" w16cid:durableId="264DBD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6124" w14:textId="77777777" w:rsidR="004C2DD9" w:rsidRDefault="004C2DD9" w:rsidP="003109D7">
      <w:r>
        <w:separator/>
      </w:r>
    </w:p>
  </w:endnote>
  <w:endnote w:type="continuationSeparator" w:id="0">
    <w:p w14:paraId="16E7F3FF" w14:textId="77777777" w:rsidR="004C2DD9" w:rsidRDefault="004C2DD9" w:rsidP="0031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89B4" w14:textId="4C4A243E" w:rsidR="00740E61" w:rsidRPr="004F7620" w:rsidRDefault="00740E61" w:rsidP="00740E61">
    <w:pPr>
      <w:tabs>
        <w:tab w:val="right" w:pos="9720"/>
      </w:tabs>
      <w:spacing w:line="240" w:lineRule="atLeast"/>
      <w:ind w:left="1440"/>
      <w:jc w:val="right"/>
      <w:rPr>
        <w:rFonts w:ascii="Calibri" w:eastAsia="Times New Roman" w:hAnsi="Calibri" w:cs="Calibri"/>
        <w:color w:val="356DA2"/>
        <w:sz w:val="20"/>
        <w:szCs w:val="20"/>
      </w:rPr>
    </w:pPr>
    <w:r w:rsidRPr="004F7620">
      <w:rPr>
        <w:rFonts w:ascii="Calibri" w:eastAsia="Times New Roman" w:hAnsi="Calibri" w:cs="Calibri"/>
        <w:noProof/>
        <w:color w:val="356DA2"/>
        <w:sz w:val="20"/>
        <w:szCs w:val="20"/>
      </w:rPr>
      <w:drawing>
        <wp:anchor distT="0" distB="0" distL="114300" distR="114300" simplePos="0" relativeHeight="251661312" behindDoc="0" locked="0" layoutInCell="1" allowOverlap="1" wp14:anchorId="278F74B7" wp14:editId="457D5E68">
          <wp:simplePos x="0" y="0"/>
          <wp:positionH relativeFrom="column">
            <wp:posOffset>8886825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eastAsia="Times New Roman" w:hAnsi="Calibri" w:cs="Calibri"/>
        <w:color w:val="356DA2"/>
        <w:sz w:val="20"/>
        <w:szCs w:val="20"/>
      </w:rPr>
      <w:fldChar w:fldCharType="begin"/>
    </w:r>
    <w:r w:rsidRPr="004F7620">
      <w:rPr>
        <w:rFonts w:ascii="Calibri" w:eastAsia="Times New Roman" w:hAnsi="Calibri" w:cs="Calibri"/>
        <w:color w:val="356DA2"/>
        <w:sz w:val="20"/>
        <w:szCs w:val="20"/>
      </w:rPr>
      <w:instrText xml:space="preserve"> PAGE   \* MERGEFORMAT </w:instrText>
    </w:r>
    <w:r w:rsidRPr="004F7620">
      <w:rPr>
        <w:rFonts w:ascii="Calibri" w:eastAsia="Times New Roman" w:hAnsi="Calibri" w:cs="Calibri"/>
        <w:color w:val="356DA2"/>
        <w:sz w:val="20"/>
        <w:szCs w:val="20"/>
      </w:rPr>
      <w:fldChar w:fldCharType="separate"/>
    </w:r>
    <w:r w:rsidR="00481302">
      <w:rPr>
        <w:rFonts w:ascii="Calibri" w:eastAsia="Times New Roman" w:hAnsi="Calibri" w:cs="Calibri"/>
        <w:noProof/>
        <w:color w:val="356DA2"/>
        <w:sz w:val="20"/>
        <w:szCs w:val="20"/>
      </w:rPr>
      <w:t>2</w:t>
    </w:r>
    <w:r w:rsidRPr="004F7620">
      <w:rPr>
        <w:rFonts w:ascii="Calibri" w:eastAsia="Times New Roman" w:hAnsi="Calibri" w:cs="Calibri"/>
        <w:noProof/>
        <w:color w:val="356DA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E0F1" w14:textId="3A96E125" w:rsidR="004F7620" w:rsidRPr="004F7620" w:rsidRDefault="004F7620" w:rsidP="00966925">
    <w:pPr>
      <w:tabs>
        <w:tab w:val="right" w:pos="9720"/>
      </w:tabs>
      <w:spacing w:line="240" w:lineRule="atLeast"/>
      <w:ind w:left="1440"/>
      <w:jc w:val="right"/>
      <w:rPr>
        <w:rFonts w:ascii="Calibri" w:eastAsia="Times New Roman" w:hAnsi="Calibri" w:cs="Calibri"/>
        <w:color w:val="356DA2"/>
        <w:sz w:val="20"/>
        <w:szCs w:val="20"/>
      </w:rPr>
    </w:pPr>
    <w:r w:rsidRPr="004F7620">
      <w:rPr>
        <w:rFonts w:ascii="Calibri" w:eastAsia="Times New Roman" w:hAnsi="Calibri" w:cs="Calibri"/>
        <w:noProof/>
        <w:color w:val="356DA2"/>
        <w:sz w:val="20"/>
        <w:szCs w:val="20"/>
      </w:rPr>
      <w:drawing>
        <wp:anchor distT="0" distB="0" distL="114300" distR="114300" simplePos="0" relativeHeight="251659264" behindDoc="0" locked="0" layoutInCell="1" allowOverlap="1" wp14:anchorId="7EB970F0" wp14:editId="28B6C041">
          <wp:simplePos x="0" y="0"/>
          <wp:positionH relativeFrom="column">
            <wp:posOffset>8886825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eastAsia="Times New Roman" w:hAnsi="Calibri" w:cs="Calibri"/>
        <w:color w:val="356DA2"/>
        <w:sz w:val="20"/>
        <w:szCs w:val="20"/>
      </w:rPr>
      <w:fldChar w:fldCharType="begin"/>
    </w:r>
    <w:r w:rsidRPr="004F7620">
      <w:rPr>
        <w:rFonts w:ascii="Calibri" w:eastAsia="Times New Roman" w:hAnsi="Calibri" w:cs="Calibri"/>
        <w:color w:val="356DA2"/>
        <w:sz w:val="20"/>
        <w:szCs w:val="20"/>
      </w:rPr>
      <w:instrText xml:space="preserve"> PAGE   \* MERGEFORMAT </w:instrText>
    </w:r>
    <w:r w:rsidRPr="004F7620">
      <w:rPr>
        <w:rFonts w:ascii="Calibri" w:eastAsia="Times New Roman" w:hAnsi="Calibri" w:cs="Calibri"/>
        <w:color w:val="356DA2"/>
        <w:sz w:val="20"/>
        <w:szCs w:val="20"/>
      </w:rPr>
      <w:fldChar w:fldCharType="separate"/>
    </w:r>
    <w:r w:rsidR="004C2DD9">
      <w:rPr>
        <w:rFonts w:ascii="Calibri" w:eastAsia="Times New Roman" w:hAnsi="Calibri" w:cs="Calibri"/>
        <w:noProof/>
        <w:color w:val="356DA2"/>
        <w:sz w:val="20"/>
        <w:szCs w:val="20"/>
      </w:rPr>
      <w:t>1</w:t>
    </w:r>
    <w:r w:rsidRPr="004F7620">
      <w:rPr>
        <w:rFonts w:ascii="Calibri" w:eastAsia="Times New Roman" w:hAnsi="Calibri" w:cs="Calibri"/>
        <w:noProof/>
        <w:color w:val="356DA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3E038" w14:textId="77777777" w:rsidR="004C2DD9" w:rsidRDefault="004C2DD9" w:rsidP="003109D7">
      <w:r>
        <w:separator/>
      </w:r>
    </w:p>
  </w:footnote>
  <w:footnote w:type="continuationSeparator" w:id="0">
    <w:p w14:paraId="4F2CC758" w14:textId="77777777" w:rsidR="004C2DD9" w:rsidRDefault="004C2DD9" w:rsidP="0031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4C59" w14:textId="0A28A207" w:rsidR="004F7620" w:rsidRPr="004F7620" w:rsidRDefault="00740E61" w:rsidP="00DD3A2A">
    <w:pPr>
      <w:pBdr>
        <w:bottom w:val="single" w:sz="4" w:space="1" w:color="328612"/>
      </w:pBdr>
      <w:spacing w:after="240" w:line="240" w:lineRule="atLeast"/>
      <w:rPr>
        <w:rFonts w:ascii="Calibri" w:eastAsia="Times New Roman" w:hAnsi="Calibri" w:cs="Calibri"/>
        <w:color w:val="356DA2"/>
        <w:sz w:val="22"/>
        <w:szCs w:val="22"/>
      </w:rPr>
    </w:pPr>
    <w:r w:rsidRPr="00740E61">
      <w:rPr>
        <w:rFonts w:ascii="Calibri" w:eastAsia="Times New Roman" w:hAnsi="Calibri" w:cs="Calibri"/>
        <w:color w:val="356DA2"/>
        <w:sz w:val="22"/>
        <w:szCs w:val="22"/>
      </w:rPr>
      <w:t>Initiating the Networked Improvement Community (NIC)</w:t>
    </w:r>
    <w:r w:rsidR="004F7620">
      <w:rPr>
        <w:rFonts w:ascii="Calibri" w:eastAsia="Times New Roman" w:hAnsi="Calibri" w:cs="Calibri"/>
        <w:color w:val="356DA2"/>
        <w:sz w:val="22"/>
        <w:szCs w:val="22"/>
      </w:rPr>
      <w:br/>
      <w:t>Kickoff Meeting Agenda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823B" w14:textId="77777777" w:rsidR="00DD3A2A" w:rsidRPr="00DD3A2A" w:rsidRDefault="00DD3A2A" w:rsidP="00DD3A2A">
    <w:pPr>
      <w:tabs>
        <w:tab w:val="center" w:pos="4680"/>
        <w:tab w:val="right" w:pos="9360"/>
      </w:tabs>
      <w:spacing w:after="480"/>
      <w:jc w:val="center"/>
      <w:rPr>
        <w:rFonts w:ascii="Calibri" w:eastAsia="Calibri" w:hAnsi="Calibri" w:cs="Times New Roman"/>
        <w:b/>
        <w:color w:val="F99A1B"/>
      </w:rPr>
    </w:pPr>
    <w:r w:rsidRPr="00DD3A2A">
      <w:rPr>
        <w:noProof/>
      </w:rPr>
      <w:drawing>
        <wp:inline distT="0" distB="0" distL="0" distR="0" wp14:anchorId="6BCACE20" wp14:editId="5E528068">
          <wp:extent cx="8869680" cy="12668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8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E59AFDB0"/>
    <w:lvl w:ilvl="0" w:tplc="F82C795C">
      <w:start w:val="1"/>
      <w:numFmt w:val="bullet"/>
      <w:lvlText w:val="»"/>
      <w:lvlJc w:val="left"/>
      <w:pPr>
        <w:tabs>
          <w:tab w:val="num" w:pos="1152"/>
        </w:tabs>
        <w:ind w:left="1152" w:hanging="576"/>
      </w:pPr>
      <w:rPr>
        <w:rFonts w:ascii="Calibri" w:hAnsi="Calibri" w:hint="default"/>
        <w:color w:val="32861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02B37"/>
    <w:multiLevelType w:val="hybridMultilevel"/>
    <w:tmpl w:val="28C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0443"/>
    <w:multiLevelType w:val="hybridMultilevel"/>
    <w:tmpl w:val="5FFA6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24938"/>
    <w:multiLevelType w:val="hybridMultilevel"/>
    <w:tmpl w:val="E6A25416"/>
    <w:lvl w:ilvl="0" w:tplc="35B24086">
      <w:start w:val="1"/>
      <w:numFmt w:val="lowerLetter"/>
      <w:pStyle w:val="N4-4thBullet"/>
      <w:lvlText w:val="%1."/>
      <w:lvlJc w:val="left"/>
      <w:pPr>
        <w:tabs>
          <w:tab w:val="num" w:pos="2880"/>
        </w:tabs>
        <w:ind w:left="2880" w:hanging="576"/>
      </w:pPr>
      <w:rPr>
        <w:rFonts w:ascii="Cambria" w:hAnsi="Cambria" w:hint="default"/>
        <w:b/>
        <w:i w:val="0"/>
        <w:caps w:val="0"/>
        <w:color w:val="356DA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32E68"/>
    <w:multiLevelType w:val="hybridMultilevel"/>
    <w:tmpl w:val="B38CA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B21D1F"/>
    <w:multiLevelType w:val="hybridMultilevel"/>
    <w:tmpl w:val="C0AC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60E5"/>
    <w:multiLevelType w:val="hybridMultilevel"/>
    <w:tmpl w:val="AF500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2F408D"/>
    <w:multiLevelType w:val="hybridMultilevel"/>
    <w:tmpl w:val="684E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B6DC3"/>
    <w:multiLevelType w:val="hybridMultilevel"/>
    <w:tmpl w:val="34D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35ABB"/>
    <w:multiLevelType w:val="hybridMultilevel"/>
    <w:tmpl w:val="3EAC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C76E7"/>
    <w:multiLevelType w:val="hybridMultilevel"/>
    <w:tmpl w:val="BACE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75D9C"/>
    <w:multiLevelType w:val="hybridMultilevel"/>
    <w:tmpl w:val="0CBA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BA4D5E"/>
    <w:multiLevelType w:val="hybridMultilevel"/>
    <w:tmpl w:val="89FC1372"/>
    <w:lvl w:ilvl="0" w:tplc="6A2699B2">
      <w:start w:val="1"/>
      <w:numFmt w:val="bullet"/>
      <w:pStyle w:val="N1-1stBullet"/>
      <w:lvlText w:val="»"/>
      <w:lvlJc w:val="left"/>
      <w:pPr>
        <w:ind w:left="360" w:hanging="360"/>
      </w:pPr>
      <w:rPr>
        <w:rFonts w:ascii="Calibri" w:hAnsi="Calibri" w:hint="default"/>
        <w:color w:val="32861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72F80"/>
    <w:multiLevelType w:val="hybridMultilevel"/>
    <w:tmpl w:val="2D801180"/>
    <w:lvl w:ilvl="0" w:tplc="E182B93E">
      <w:start w:val="1"/>
      <w:numFmt w:val="decimal"/>
      <w:pStyle w:val="N3-3rdBullet"/>
      <w:lvlText w:val="%1."/>
      <w:lvlJc w:val="left"/>
      <w:pPr>
        <w:tabs>
          <w:tab w:val="num" w:pos="2304"/>
        </w:tabs>
        <w:ind w:left="2304" w:hanging="576"/>
      </w:pPr>
      <w:rPr>
        <w:rFonts w:ascii="Calibri" w:hAnsi="Calibri" w:hint="default"/>
        <w:b/>
        <w:i w:val="0"/>
        <w:color w:val="328612"/>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E86CCA"/>
    <w:multiLevelType w:val="hybridMultilevel"/>
    <w:tmpl w:val="560A23D0"/>
    <w:lvl w:ilvl="0" w:tplc="62F26D84">
      <w:start w:val="1"/>
      <w:numFmt w:val="bullet"/>
      <w:pStyle w:val="N2-2ndBullet"/>
      <w:lvlText w:val="›"/>
      <w:lvlJc w:val="left"/>
      <w:pPr>
        <w:ind w:left="1008" w:hanging="360"/>
      </w:pPr>
      <w:rPr>
        <w:rFonts w:ascii="Calibri" w:hAnsi="Calibri" w:hint="default"/>
        <w:b/>
        <w:i w:val="0"/>
        <w:color w:val="356DA2"/>
        <w:sz w:val="22"/>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50440D83"/>
    <w:multiLevelType w:val="hybridMultilevel"/>
    <w:tmpl w:val="0318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B4A92"/>
    <w:multiLevelType w:val="hybridMultilevel"/>
    <w:tmpl w:val="A964F5A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4875C8A"/>
    <w:multiLevelType w:val="hybridMultilevel"/>
    <w:tmpl w:val="E3E42E48"/>
    <w:lvl w:ilvl="0" w:tplc="C4B0328C">
      <w:start w:val="1"/>
      <w:numFmt w:val="bullet"/>
      <w:lvlText w:val="»"/>
      <w:lvlJc w:val="left"/>
      <w:pPr>
        <w:ind w:left="720" w:hanging="360"/>
      </w:pPr>
      <w:rPr>
        <w:rFonts w:ascii="Calibri" w:hAnsi="Calibri" w:hint="default"/>
      </w:rPr>
    </w:lvl>
    <w:lvl w:ilvl="1" w:tplc="75B2B040">
      <w:start w:val="1"/>
      <w:numFmt w:val="bullet"/>
      <w:lvlText w:val="o"/>
      <w:lvlJc w:val="left"/>
      <w:pPr>
        <w:ind w:left="1440" w:hanging="360"/>
      </w:pPr>
      <w:rPr>
        <w:rFonts w:ascii="Courier New" w:hAnsi="Courier New" w:hint="default"/>
      </w:rPr>
    </w:lvl>
    <w:lvl w:ilvl="2" w:tplc="20081E04">
      <w:start w:val="1"/>
      <w:numFmt w:val="bullet"/>
      <w:lvlText w:val=""/>
      <w:lvlJc w:val="left"/>
      <w:pPr>
        <w:ind w:left="2160" w:hanging="360"/>
      </w:pPr>
      <w:rPr>
        <w:rFonts w:ascii="Wingdings" w:hAnsi="Wingdings" w:hint="default"/>
      </w:rPr>
    </w:lvl>
    <w:lvl w:ilvl="3" w:tplc="E312D3AA">
      <w:start w:val="1"/>
      <w:numFmt w:val="bullet"/>
      <w:lvlText w:val=""/>
      <w:lvlJc w:val="left"/>
      <w:pPr>
        <w:ind w:left="2880" w:hanging="360"/>
      </w:pPr>
      <w:rPr>
        <w:rFonts w:ascii="Symbol" w:hAnsi="Symbol" w:hint="default"/>
      </w:rPr>
    </w:lvl>
    <w:lvl w:ilvl="4" w:tplc="D1EA7E00">
      <w:start w:val="1"/>
      <w:numFmt w:val="bullet"/>
      <w:lvlText w:val="o"/>
      <w:lvlJc w:val="left"/>
      <w:pPr>
        <w:ind w:left="3600" w:hanging="360"/>
      </w:pPr>
      <w:rPr>
        <w:rFonts w:ascii="Courier New" w:hAnsi="Courier New" w:hint="default"/>
      </w:rPr>
    </w:lvl>
    <w:lvl w:ilvl="5" w:tplc="395A8632">
      <w:start w:val="1"/>
      <w:numFmt w:val="bullet"/>
      <w:lvlText w:val=""/>
      <w:lvlJc w:val="left"/>
      <w:pPr>
        <w:ind w:left="4320" w:hanging="360"/>
      </w:pPr>
      <w:rPr>
        <w:rFonts w:ascii="Wingdings" w:hAnsi="Wingdings" w:hint="default"/>
      </w:rPr>
    </w:lvl>
    <w:lvl w:ilvl="6" w:tplc="A5706CC0">
      <w:start w:val="1"/>
      <w:numFmt w:val="bullet"/>
      <w:lvlText w:val=""/>
      <w:lvlJc w:val="left"/>
      <w:pPr>
        <w:ind w:left="5040" w:hanging="360"/>
      </w:pPr>
      <w:rPr>
        <w:rFonts w:ascii="Symbol" w:hAnsi="Symbol" w:hint="default"/>
      </w:rPr>
    </w:lvl>
    <w:lvl w:ilvl="7" w:tplc="93721C8E">
      <w:start w:val="1"/>
      <w:numFmt w:val="bullet"/>
      <w:lvlText w:val="o"/>
      <w:lvlJc w:val="left"/>
      <w:pPr>
        <w:ind w:left="5760" w:hanging="360"/>
      </w:pPr>
      <w:rPr>
        <w:rFonts w:ascii="Courier New" w:hAnsi="Courier New" w:hint="default"/>
      </w:rPr>
    </w:lvl>
    <w:lvl w:ilvl="8" w:tplc="EF5E6AE2">
      <w:start w:val="1"/>
      <w:numFmt w:val="bullet"/>
      <w:lvlText w:val=""/>
      <w:lvlJc w:val="left"/>
      <w:pPr>
        <w:ind w:left="6480" w:hanging="360"/>
      </w:pPr>
      <w:rPr>
        <w:rFonts w:ascii="Wingdings" w:hAnsi="Wingdings" w:hint="default"/>
      </w:rPr>
    </w:lvl>
  </w:abstractNum>
  <w:abstractNum w:abstractNumId="18" w15:restartNumberingAfterBreak="0">
    <w:nsid w:val="6B375926"/>
    <w:multiLevelType w:val="hybridMultilevel"/>
    <w:tmpl w:val="9FE8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E0D3A"/>
    <w:multiLevelType w:val="hybridMultilevel"/>
    <w:tmpl w:val="B5D8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41EF5"/>
    <w:multiLevelType w:val="hybridMultilevel"/>
    <w:tmpl w:val="39A851BA"/>
    <w:lvl w:ilvl="0" w:tplc="AF66476A">
      <w:start w:val="1"/>
      <w:numFmt w:val="bullet"/>
      <w:lvlText w:val="›"/>
      <w:lvlJc w:val="left"/>
      <w:pPr>
        <w:tabs>
          <w:tab w:val="num" w:pos="1728"/>
        </w:tabs>
        <w:ind w:left="1728" w:hanging="576"/>
      </w:pPr>
      <w:rPr>
        <w:rFonts w:ascii="Calibri" w:hAnsi="Calibri" w:hint="default"/>
        <w:b/>
        <w:i w:val="0"/>
        <w:color w:val="356DA2"/>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63C12"/>
    <w:multiLevelType w:val="hybridMultilevel"/>
    <w:tmpl w:val="70F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1"/>
  </w:num>
  <w:num w:numId="4">
    <w:abstractNumId w:val="18"/>
  </w:num>
  <w:num w:numId="5">
    <w:abstractNumId w:val="10"/>
  </w:num>
  <w:num w:numId="6">
    <w:abstractNumId w:val="15"/>
  </w:num>
  <w:num w:numId="7">
    <w:abstractNumId w:val="8"/>
  </w:num>
  <w:num w:numId="8">
    <w:abstractNumId w:val="1"/>
  </w:num>
  <w:num w:numId="9">
    <w:abstractNumId w:val="0"/>
  </w:num>
  <w:num w:numId="10">
    <w:abstractNumId w:val="0"/>
    <w:lvlOverride w:ilvl="0">
      <w:startOverride w:val="1"/>
    </w:lvlOverride>
  </w:num>
  <w:num w:numId="11">
    <w:abstractNumId w:val="20"/>
  </w:num>
  <w:num w:numId="12">
    <w:abstractNumId w:val="13"/>
  </w:num>
  <w:num w:numId="13">
    <w:abstractNumId w:val="3"/>
  </w:num>
  <w:num w:numId="14">
    <w:abstractNumId w:val="12"/>
  </w:num>
  <w:num w:numId="15">
    <w:abstractNumId w:val="1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5"/>
  </w:num>
  <w:num w:numId="24">
    <w:abstractNumId w:val="9"/>
  </w:num>
  <w:num w:numId="25">
    <w:abstractNumId w:val="11"/>
  </w:num>
  <w:num w:numId="26">
    <w:abstractNumId w:val="19"/>
  </w:num>
  <w:num w:numId="27">
    <w:abstractNumId w:val="7"/>
  </w:num>
  <w:num w:numId="28">
    <w:abstractNumId w:val="6"/>
  </w:num>
  <w:num w:numId="29">
    <w:abstractNumId w:val="4"/>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D7"/>
    <w:rsid w:val="000B65E4"/>
    <w:rsid w:val="000F2FED"/>
    <w:rsid w:val="00104F94"/>
    <w:rsid w:val="00105849"/>
    <w:rsid w:val="00111D63"/>
    <w:rsid w:val="001125E2"/>
    <w:rsid w:val="0011576B"/>
    <w:rsid w:val="00122C2F"/>
    <w:rsid w:val="00125071"/>
    <w:rsid w:val="001333B8"/>
    <w:rsid w:val="0014084A"/>
    <w:rsid w:val="00196916"/>
    <w:rsid w:val="001A5605"/>
    <w:rsid w:val="001F6A25"/>
    <w:rsid w:val="00200D46"/>
    <w:rsid w:val="00241D32"/>
    <w:rsid w:val="002A0E8F"/>
    <w:rsid w:val="002C31C5"/>
    <w:rsid w:val="00305A12"/>
    <w:rsid w:val="003109D7"/>
    <w:rsid w:val="00313097"/>
    <w:rsid w:val="00322786"/>
    <w:rsid w:val="0034340A"/>
    <w:rsid w:val="00357EA0"/>
    <w:rsid w:val="00371540"/>
    <w:rsid w:val="00375A95"/>
    <w:rsid w:val="00382BF6"/>
    <w:rsid w:val="0039093B"/>
    <w:rsid w:val="003A63DB"/>
    <w:rsid w:val="003D58DF"/>
    <w:rsid w:val="003E0953"/>
    <w:rsid w:val="003E1E0E"/>
    <w:rsid w:val="003E3960"/>
    <w:rsid w:val="00426968"/>
    <w:rsid w:val="00427693"/>
    <w:rsid w:val="00443091"/>
    <w:rsid w:val="0045219A"/>
    <w:rsid w:val="00452C9B"/>
    <w:rsid w:val="00460122"/>
    <w:rsid w:val="004710FC"/>
    <w:rsid w:val="0047500D"/>
    <w:rsid w:val="00481302"/>
    <w:rsid w:val="004823E0"/>
    <w:rsid w:val="004A3799"/>
    <w:rsid w:val="004A5A64"/>
    <w:rsid w:val="004B335E"/>
    <w:rsid w:val="004C2DD9"/>
    <w:rsid w:val="004E02AC"/>
    <w:rsid w:val="004E5C5D"/>
    <w:rsid w:val="004F7620"/>
    <w:rsid w:val="005020B0"/>
    <w:rsid w:val="0051357B"/>
    <w:rsid w:val="00524D60"/>
    <w:rsid w:val="00546AE9"/>
    <w:rsid w:val="005540E5"/>
    <w:rsid w:val="00587DFA"/>
    <w:rsid w:val="00596AAC"/>
    <w:rsid w:val="005A4BAF"/>
    <w:rsid w:val="005E705A"/>
    <w:rsid w:val="005F22EF"/>
    <w:rsid w:val="005F63BD"/>
    <w:rsid w:val="0062374E"/>
    <w:rsid w:val="0063213C"/>
    <w:rsid w:val="00636B5D"/>
    <w:rsid w:val="00647BA7"/>
    <w:rsid w:val="00686D9D"/>
    <w:rsid w:val="0069542F"/>
    <w:rsid w:val="006A6253"/>
    <w:rsid w:val="006B2DB2"/>
    <w:rsid w:val="006B5179"/>
    <w:rsid w:val="006C154F"/>
    <w:rsid w:val="006C37FE"/>
    <w:rsid w:val="006C5891"/>
    <w:rsid w:val="006E282D"/>
    <w:rsid w:val="007002CC"/>
    <w:rsid w:val="00715A9D"/>
    <w:rsid w:val="00740E61"/>
    <w:rsid w:val="00772CC9"/>
    <w:rsid w:val="007B521C"/>
    <w:rsid w:val="007D32CD"/>
    <w:rsid w:val="007F626A"/>
    <w:rsid w:val="00804F65"/>
    <w:rsid w:val="00807BFF"/>
    <w:rsid w:val="008451A6"/>
    <w:rsid w:val="00865E9D"/>
    <w:rsid w:val="008A191E"/>
    <w:rsid w:val="008D72FA"/>
    <w:rsid w:val="009312C8"/>
    <w:rsid w:val="0094245D"/>
    <w:rsid w:val="009524B8"/>
    <w:rsid w:val="00957BB0"/>
    <w:rsid w:val="00966925"/>
    <w:rsid w:val="0097521E"/>
    <w:rsid w:val="00980E51"/>
    <w:rsid w:val="00983BE0"/>
    <w:rsid w:val="00985272"/>
    <w:rsid w:val="009A5F49"/>
    <w:rsid w:val="009D0B49"/>
    <w:rsid w:val="009D5506"/>
    <w:rsid w:val="00A51C35"/>
    <w:rsid w:val="00A522C3"/>
    <w:rsid w:val="00A53ADC"/>
    <w:rsid w:val="00A85B7F"/>
    <w:rsid w:val="00B03E1A"/>
    <w:rsid w:val="00B14694"/>
    <w:rsid w:val="00B6334F"/>
    <w:rsid w:val="00BA75BB"/>
    <w:rsid w:val="00BB6C66"/>
    <w:rsid w:val="00BD0027"/>
    <w:rsid w:val="00BD5A05"/>
    <w:rsid w:val="00BE2320"/>
    <w:rsid w:val="00BF1F95"/>
    <w:rsid w:val="00C3237A"/>
    <w:rsid w:val="00C725C1"/>
    <w:rsid w:val="00CA360C"/>
    <w:rsid w:val="00CF6479"/>
    <w:rsid w:val="00D0527F"/>
    <w:rsid w:val="00D425E6"/>
    <w:rsid w:val="00D5316D"/>
    <w:rsid w:val="00DA041A"/>
    <w:rsid w:val="00DC6DEB"/>
    <w:rsid w:val="00DD3A2A"/>
    <w:rsid w:val="00DF2B29"/>
    <w:rsid w:val="00E028FD"/>
    <w:rsid w:val="00E160E7"/>
    <w:rsid w:val="00E22801"/>
    <w:rsid w:val="00E36837"/>
    <w:rsid w:val="00E440CD"/>
    <w:rsid w:val="00E53DAA"/>
    <w:rsid w:val="00E72C4D"/>
    <w:rsid w:val="00E86A15"/>
    <w:rsid w:val="00E912C8"/>
    <w:rsid w:val="00E97B73"/>
    <w:rsid w:val="00EA01CE"/>
    <w:rsid w:val="00EA58FB"/>
    <w:rsid w:val="00EB3CF2"/>
    <w:rsid w:val="00EB474C"/>
    <w:rsid w:val="00EB734C"/>
    <w:rsid w:val="00EC1619"/>
    <w:rsid w:val="00F01B67"/>
    <w:rsid w:val="00F12445"/>
    <w:rsid w:val="00F1424C"/>
    <w:rsid w:val="00F231FA"/>
    <w:rsid w:val="00F566B6"/>
    <w:rsid w:val="00F93FA1"/>
    <w:rsid w:val="00F97E30"/>
    <w:rsid w:val="00FA2DBC"/>
    <w:rsid w:val="00FA5940"/>
    <w:rsid w:val="00FA79D5"/>
    <w:rsid w:val="00FE1F6F"/>
    <w:rsid w:val="00FF3108"/>
    <w:rsid w:val="07E7D29C"/>
    <w:rsid w:val="108EE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FEB7"/>
  <w15:docId w15:val="{4BC841E9-7A46-4DBF-8D14-EED3883C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61"/>
    <w:pPr>
      <w:spacing w:after="0" w:line="240" w:lineRule="auto"/>
    </w:pPr>
    <w:rPr>
      <w:sz w:val="24"/>
      <w:szCs w:val="24"/>
    </w:rPr>
  </w:style>
  <w:style w:type="paragraph" w:styleId="Heading1">
    <w:name w:val="heading 1"/>
    <w:aliases w:val="H1-Chap. Head"/>
    <w:basedOn w:val="Normal"/>
    <w:link w:val="Heading1Char"/>
    <w:qFormat/>
    <w:rsid w:val="00740E61"/>
    <w:pPr>
      <w:keepNext/>
      <w:tabs>
        <w:tab w:val="left" w:pos="1152"/>
      </w:tabs>
      <w:spacing w:after="360" w:line="620" w:lineRule="atLeast"/>
      <w:outlineLvl w:val="0"/>
    </w:pPr>
    <w:rPr>
      <w:rFonts w:eastAsia="Times New Roman" w:cstheme="minorHAnsi"/>
      <w:b/>
      <w:color w:val="356DA2"/>
      <w:sz w:val="48"/>
      <w:szCs w:val="48"/>
    </w:rPr>
  </w:style>
  <w:style w:type="paragraph" w:styleId="Heading2">
    <w:name w:val="heading 2"/>
    <w:aliases w:val="H2-Sec. Head"/>
    <w:basedOn w:val="Normal"/>
    <w:next w:val="Normal"/>
    <w:link w:val="Heading2Char"/>
    <w:unhideWhenUsed/>
    <w:qFormat/>
    <w:rsid w:val="00740E61"/>
    <w:pPr>
      <w:keepNext/>
      <w:tabs>
        <w:tab w:val="left" w:pos="1152"/>
      </w:tabs>
      <w:spacing w:after="72" w:line="440" w:lineRule="atLeast"/>
      <w:ind w:left="1152" w:hanging="1152"/>
      <w:outlineLvl w:val="1"/>
    </w:pPr>
    <w:rPr>
      <w:rFonts w:eastAsia="Times New Roman" w:cstheme="minorHAnsi"/>
      <w:color w:val="328612"/>
      <w:sz w:val="36"/>
      <w:szCs w:val="36"/>
    </w:rPr>
  </w:style>
  <w:style w:type="paragraph" w:styleId="Heading3">
    <w:name w:val="heading 3"/>
    <w:aliases w:val="H3-Sec. Head"/>
    <w:basedOn w:val="Normal"/>
    <w:next w:val="Normal"/>
    <w:link w:val="Heading3Char"/>
    <w:unhideWhenUsed/>
    <w:qFormat/>
    <w:rsid w:val="00740E61"/>
    <w:pPr>
      <w:keepNext/>
      <w:tabs>
        <w:tab w:val="left" w:pos="1152"/>
      </w:tabs>
      <w:spacing w:before="120" w:after="72" w:line="380" w:lineRule="atLeast"/>
      <w:ind w:left="1152" w:hanging="1152"/>
      <w:outlineLvl w:val="2"/>
    </w:pPr>
    <w:rPr>
      <w:rFonts w:eastAsia="Times New Roman" w:cstheme="minorHAnsi"/>
      <w:b/>
      <w:color w:val="356DA2"/>
      <w:sz w:val="32"/>
      <w:szCs w:val="32"/>
    </w:rPr>
  </w:style>
  <w:style w:type="paragraph" w:styleId="Heading4">
    <w:name w:val="heading 4"/>
    <w:aliases w:val="H4-Sec. Head"/>
    <w:basedOn w:val="Normal"/>
    <w:next w:val="Normal"/>
    <w:link w:val="Heading4Char"/>
    <w:unhideWhenUsed/>
    <w:qFormat/>
    <w:rsid w:val="00740E61"/>
    <w:pPr>
      <w:keepNext/>
      <w:tabs>
        <w:tab w:val="left" w:pos="1152"/>
      </w:tabs>
      <w:spacing w:after="70" w:line="280" w:lineRule="atLeast"/>
      <w:ind w:left="1152" w:hanging="1152"/>
      <w:outlineLvl w:val="3"/>
    </w:pPr>
    <w:rPr>
      <w:rFonts w:eastAsia="Times New Roman" w:cstheme="minorHAnsi"/>
      <w:color w:val="356D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D7"/>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740E61"/>
    <w:rPr>
      <w:sz w:val="20"/>
      <w:szCs w:val="20"/>
    </w:rPr>
  </w:style>
  <w:style w:type="character" w:customStyle="1" w:styleId="FootnoteTextChar">
    <w:name w:val="Footnote Text Char"/>
    <w:basedOn w:val="DefaultParagraphFont"/>
    <w:link w:val="FootnoteText"/>
    <w:uiPriority w:val="99"/>
    <w:rsid w:val="00740E61"/>
    <w:rPr>
      <w:sz w:val="20"/>
      <w:szCs w:val="20"/>
    </w:rPr>
  </w:style>
  <w:style w:type="character" w:styleId="FootnoteReference">
    <w:name w:val="footnote reference"/>
    <w:basedOn w:val="DefaultParagraphFont"/>
    <w:rsid w:val="003109D7"/>
    <w:rPr>
      <w:vertAlign w:val="superscript"/>
    </w:rPr>
  </w:style>
  <w:style w:type="paragraph" w:styleId="BalloonText">
    <w:name w:val="Balloon Text"/>
    <w:basedOn w:val="Normal"/>
    <w:link w:val="BalloonTextChar"/>
    <w:uiPriority w:val="99"/>
    <w:semiHidden/>
    <w:unhideWhenUsed/>
    <w:rsid w:val="00310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D7"/>
    <w:rPr>
      <w:rFonts w:ascii="Segoe UI" w:hAnsi="Segoe UI" w:cs="Segoe UI"/>
      <w:sz w:val="18"/>
      <w:szCs w:val="18"/>
    </w:rPr>
  </w:style>
  <w:style w:type="character" w:styleId="CommentReference">
    <w:name w:val="annotation reference"/>
    <w:basedOn w:val="DefaultParagraphFont"/>
    <w:uiPriority w:val="99"/>
    <w:semiHidden/>
    <w:unhideWhenUsed/>
    <w:rsid w:val="000B65E4"/>
    <w:rPr>
      <w:sz w:val="16"/>
      <w:szCs w:val="16"/>
    </w:rPr>
  </w:style>
  <w:style w:type="paragraph" w:styleId="CommentText">
    <w:name w:val="annotation text"/>
    <w:basedOn w:val="Normal"/>
    <w:link w:val="CommentTextChar"/>
    <w:uiPriority w:val="99"/>
    <w:unhideWhenUsed/>
    <w:rsid w:val="000B65E4"/>
    <w:rPr>
      <w:sz w:val="20"/>
      <w:szCs w:val="20"/>
    </w:rPr>
  </w:style>
  <w:style w:type="character" w:customStyle="1" w:styleId="CommentTextChar">
    <w:name w:val="Comment Text Char"/>
    <w:basedOn w:val="DefaultParagraphFont"/>
    <w:link w:val="CommentText"/>
    <w:uiPriority w:val="99"/>
    <w:rsid w:val="000B65E4"/>
    <w:rPr>
      <w:sz w:val="20"/>
      <w:szCs w:val="20"/>
    </w:rPr>
  </w:style>
  <w:style w:type="paragraph" w:styleId="CommentSubject">
    <w:name w:val="annotation subject"/>
    <w:basedOn w:val="CommentText"/>
    <w:next w:val="CommentText"/>
    <w:link w:val="CommentSubjectChar"/>
    <w:uiPriority w:val="99"/>
    <w:semiHidden/>
    <w:unhideWhenUsed/>
    <w:rsid w:val="000B65E4"/>
    <w:rPr>
      <w:b/>
      <w:bCs/>
    </w:rPr>
  </w:style>
  <w:style w:type="character" w:customStyle="1" w:styleId="CommentSubjectChar">
    <w:name w:val="Comment Subject Char"/>
    <w:basedOn w:val="CommentTextChar"/>
    <w:link w:val="CommentSubject"/>
    <w:uiPriority w:val="99"/>
    <w:semiHidden/>
    <w:rsid w:val="000B65E4"/>
    <w:rPr>
      <w:b/>
      <w:bCs/>
      <w:sz w:val="20"/>
      <w:szCs w:val="20"/>
    </w:rPr>
  </w:style>
  <w:style w:type="table" w:styleId="TableGrid">
    <w:name w:val="Table Grid"/>
    <w:basedOn w:val="TableNormal"/>
    <w:uiPriority w:val="59"/>
    <w:rsid w:val="00740E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
    <w:basedOn w:val="DefaultParagraphFont"/>
    <w:link w:val="Heading1"/>
    <w:rsid w:val="00740E61"/>
    <w:rPr>
      <w:rFonts w:eastAsia="Times New Roman" w:cstheme="minorHAnsi"/>
      <w:b/>
      <w:color w:val="356DA2"/>
      <w:sz w:val="48"/>
      <w:szCs w:val="48"/>
    </w:rPr>
  </w:style>
  <w:style w:type="character" w:customStyle="1" w:styleId="Heading2Char">
    <w:name w:val="Heading 2 Char"/>
    <w:aliases w:val="H2-Sec. Head Char"/>
    <w:basedOn w:val="DefaultParagraphFont"/>
    <w:link w:val="Heading2"/>
    <w:rsid w:val="00740E61"/>
    <w:rPr>
      <w:rFonts w:eastAsia="Times New Roman" w:cstheme="minorHAnsi"/>
      <w:color w:val="328612"/>
      <w:sz w:val="36"/>
      <w:szCs w:val="36"/>
    </w:rPr>
  </w:style>
  <w:style w:type="character" w:customStyle="1" w:styleId="Heading3Char">
    <w:name w:val="Heading 3 Char"/>
    <w:aliases w:val="H3-Sec. Head Char"/>
    <w:basedOn w:val="DefaultParagraphFont"/>
    <w:link w:val="Heading3"/>
    <w:rsid w:val="00740E61"/>
    <w:rPr>
      <w:rFonts w:eastAsia="Times New Roman" w:cstheme="minorHAnsi"/>
      <w:b/>
      <w:color w:val="356DA2"/>
      <w:sz w:val="32"/>
      <w:szCs w:val="32"/>
    </w:rPr>
  </w:style>
  <w:style w:type="character" w:customStyle="1" w:styleId="Heading4Char">
    <w:name w:val="Heading 4 Char"/>
    <w:aliases w:val="H4-Sec. Head Char"/>
    <w:basedOn w:val="DefaultParagraphFont"/>
    <w:link w:val="Heading4"/>
    <w:rsid w:val="00740E61"/>
    <w:rPr>
      <w:rFonts w:eastAsia="Times New Roman" w:cstheme="minorHAnsi"/>
      <w:color w:val="356DA2"/>
      <w:sz w:val="26"/>
      <w:szCs w:val="26"/>
    </w:rPr>
  </w:style>
  <w:style w:type="paragraph" w:styleId="Header">
    <w:name w:val="header"/>
    <w:basedOn w:val="Normal"/>
    <w:link w:val="HeaderChar"/>
    <w:autoRedefine/>
    <w:uiPriority w:val="99"/>
    <w:unhideWhenUsed/>
    <w:rsid w:val="00740E61"/>
    <w:pPr>
      <w:tabs>
        <w:tab w:val="center" w:pos="4680"/>
        <w:tab w:val="right" w:pos="9360"/>
      </w:tabs>
      <w:spacing w:after="480"/>
      <w:ind w:left="-360"/>
    </w:pPr>
    <w:rPr>
      <w:b/>
      <w:color w:val="F99A1B"/>
    </w:rPr>
  </w:style>
  <w:style w:type="character" w:customStyle="1" w:styleId="HeaderChar">
    <w:name w:val="Header Char"/>
    <w:basedOn w:val="DefaultParagraphFont"/>
    <w:link w:val="Header"/>
    <w:uiPriority w:val="99"/>
    <w:rsid w:val="00740E61"/>
    <w:rPr>
      <w:b/>
      <w:color w:val="F99A1B"/>
      <w:sz w:val="24"/>
      <w:szCs w:val="24"/>
    </w:rPr>
  </w:style>
  <w:style w:type="paragraph" w:styleId="Footer">
    <w:name w:val="footer"/>
    <w:basedOn w:val="Normal"/>
    <w:link w:val="FooterChar"/>
    <w:uiPriority w:val="99"/>
    <w:unhideWhenUsed/>
    <w:rsid w:val="00740E61"/>
    <w:pPr>
      <w:tabs>
        <w:tab w:val="center" w:pos="4680"/>
        <w:tab w:val="right" w:pos="9360"/>
      </w:tabs>
    </w:pPr>
  </w:style>
  <w:style w:type="character" w:customStyle="1" w:styleId="FooterChar">
    <w:name w:val="Footer Char"/>
    <w:basedOn w:val="DefaultParagraphFont"/>
    <w:link w:val="Footer"/>
    <w:uiPriority w:val="99"/>
    <w:rsid w:val="00740E61"/>
    <w:rPr>
      <w:sz w:val="24"/>
      <w:szCs w:val="24"/>
    </w:rPr>
  </w:style>
  <w:style w:type="paragraph" w:customStyle="1" w:styleId="SL-FlLftSgl">
    <w:name w:val="SL-Fl Lft Sgl"/>
    <w:basedOn w:val="Normal"/>
    <w:rsid w:val="00740E61"/>
    <w:pPr>
      <w:spacing w:after="180" w:line="320" w:lineRule="atLeast"/>
    </w:pPr>
    <w:rPr>
      <w:rFonts w:ascii="Cambria" w:eastAsia="Times New Roman" w:hAnsi="Cambria" w:cs="Times New Roman"/>
      <w:color w:val="2F4550"/>
      <w:sz w:val="22"/>
      <w:szCs w:val="22"/>
    </w:rPr>
  </w:style>
  <w:style w:type="paragraph" w:customStyle="1" w:styleId="N1-1stBullet">
    <w:name w:val="N1-1st Bullet"/>
    <w:rsid w:val="00740E61"/>
    <w:pPr>
      <w:numPr>
        <w:numId w:val="14"/>
      </w:numPr>
      <w:spacing w:after="90" w:line="300" w:lineRule="atLeast"/>
    </w:pPr>
    <w:rPr>
      <w:rFonts w:ascii="Cambria" w:eastAsia="Times New Roman" w:hAnsi="Cambria" w:cs="Calibri"/>
      <w:color w:val="2F4550"/>
    </w:rPr>
  </w:style>
  <w:style w:type="paragraph" w:customStyle="1" w:styleId="N2-2ndBullet">
    <w:name w:val="N2-2nd Bullet"/>
    <w:rsid w:val="00740E61"/>
    <w:pPr>
      <w:numPr>
        <w:numId w:val="15"/>
      </w:numPr>
      <w:spacing w:after="90" w:line="300" w:lineRule="atLeast"/>
      <w:ind w:left="576" w:hanging="288"/>
    </w:pPr>
    <w:rPr>
      <w:rFonts w:ascii="Cambria" w:eastAsia="Times New Roman" w:hAnsi="Cambria" w:cstheme="minorHAnsi"/>
      <w:color w:val="2F4550"/>
    </w:rPr>
  </w:style>
  <w:style w:type="paragraph" w:customStyle="1" w:styleId="N3-3rdBullet">
    <w:name w:val="N3-3rd Bullet"/>
    <w:basedOn w:val="Normal"/>
    <w:rsid w:val="00740E61"/>
    <w:pPr>
      <w:numPr>
        <w:numId w:val="12"/>
      </w:numPr>
      <w:tabs>
        <w:tab w:val="clear" w:pos="2304"/>
      </w:tabs>
      <w:spacing w:after="180" w:line="300" w:lineRule="atLeast"/>
      <w:ind w:left="288" w:hanging="288"/>
    </w:pPr>
    <w:rPr>
      <w:rFonts w:ascii="Cambria" w:eastAsia="Times New Roman" w:hAnsi="Cambria" w:cs="Times New Roman"/>
      <w:color w:val="2F4550"/>
      <w:sz w:val="22"/>
      <w:szCs w:val="22"/>
    </w:rPr>
  </w:style>
  <w:style w:type="paragraph" w:customStyle="1" w:styleId="N4-4thBullet">
    <w:name w:val="N4-4th Bullet"/>
    <w:basedOn w:val="Normal"/>
    <w:rsid w:val="00740E61"/>
    <w:pPr>
      <w:numPr>
        <w:numId w:val="13"/>
      </w:numPr>
      <w:tabs>
        <w:tab w:val="clear" w:pos="2880"/>
      </w:tabs>
      <w:spacing w:after="180" w:line="300" w:lineRule="atLeast"/>
      <w:ind w:left="576" w:hanging="288"/>
    </w:pPr>
    <w:rPr>
      <w:rFonts w:ascii="Cambria" w:eastAsia="Times New Roman" w:hAnsi="Cambria" w:cs="Times New Roman"/>
      <w:color w:val="2F4550"/>
      <w:sz w:val="22"/>
      <w:szCs w:val="22"/>
    </w:rPr>
  </w:style>
  <w:style w:type="paragraph" w:customStyle="1" w:styleId="N7-3Block">
    <w:name w:val="N7-3&quot; Block"/>
    <w:basedOn w:val="Normal"/>
    <w:rsid w:val="00740E61"/>
    <w:pPr>
      <w:pBdr>
        <w:top w:val="single" w:sz="12" w:space="6" w:color="26A642"/>
        <w:bottom w:val="single" w:sz="12" w:space="6" w:color="26A642"/>
      </w:pBdr>
      <w:tabs>
        <w:tab w:val="left" w:pos="1152"/>
      </w:tabs>
      <w:spacing w:after="180" w:line="380" w:lineRule="atLeast"/>
      <w:ind w:left="360"/>
    </w:pPr>
    <w:rPr>
      <w:rFonts w:eastAsia="Times New Roman" w:cstheme="minorHAnsi"/>
      <w:color w:val="356DA2"/>
      <w:sz w:val="30"/>
      <w:szCs w:val="30"/>
    </w:rPr>
  </w:style>
  <w:style w:type="character" w:styleId="SubtleReference">
    <w:name w:val="Subtle Reference"/>
    <w:uiPriority w:val="31"/>
    <w:qFormat/>
    <w:rsid w:val="00740E61"/>
    <w:rPr>
      <w:b/>
      <w:sz w:val="22"/>
      <w:szCs w:val="22"/>
    </w:rPr>
  </w:style>
  <w:style w:type="paragraph" w:customStyle="1" w:styleId="Quote1">
    <w:name w:val="Quote 1"/>
    <w:basedOn w:val="N7-3Block"/>
    <w:qFormat/>
    <w:rsid w:val="00740E61"/>
    <w:pPr>
      <w:pBdr>
        <w:top w:val="single" w:sz="12" w:space="6" w:color="328612"/>
        <w:bottom w:val="single" w:sz="12" w:space="6" w:color="328612"/>
      </w:pBdr>
      <w:tabs>
        <w:tab w:val="clear" w:pos="1152"/>
      </w:tabs>
    </w:pPr>
  </w:style>
  <w:style w:type="paragraph" w:customStyle="1" w:styleId="TT-TableTitle">
    <w:name w:val="TT-Table Title"/>
    <w:rsid w:val="00740E61"/>
    <w:pPr>
      <w:keepNext/>
      <w:tabs>
        <w:tab w:val="left" w:pos="1440"/>
      </w:tabs>
      <w:spacing w:before="80" w:after="140" w:line="300" w:lineRule="atLeast"/>
      <w:ind w:left="1440" w:hanging="1440"/>
    </w:pPr>
    <w:rPr>
      <w:rFonts w:ascii="Calibri" w:eastAsia="Times New Roman" w:hAnsi="Calibri" w:cs="Calibri"/>
      <w:b/>
      <w:color w:val="328612"/>
      <w:sz w:val="26"/>
      <w:szCs w:val="26"/>
    </w:rPr>
  </w:style>
  <w:style w:type="paragraph" w:customStyle="1" w:styleId="TH-TableHeading">
    <w:name w:val="TH-Table Heading"/>
    <w:basedOn w:val="TT-TableTitle"/>
    <w:rsid w:val="00740E61"/>
    <w:pPr>
      <w:spacing w:before="0" w:after="0" w:line="260" w:lineRule="atLeast"/>
      <w:ind w:left="0" w:firstLine="0"/>
    </w:pPr>
    <w:rPr>
      <w:color w:val="356DA2"/>
    </w:rPr>
  </w:style>
  <w:style w:type="paragraph" w:customStyle="1" w:styleId="TF-TblFN">
    <w:name w:val="TF-Tbl FN"/>
    <w:basedOn w:val="FootnoteText"/>
    <w:rsid w:val="00740E61"/>
    <w:pPr>
      <w:tabs>
        <w:tab w:val="left" w:pos="120"/>
      </w:tabs>
      <w:spacing w:after="60" w:line="200" w:lineRule="atLeast"/>
      <w:ind w:left="115" w:hanging="115"/>
    </w:pPr>
    <w:rPr>
      <w:rFonts w:eastAsia="Times New Roman" w:cstheme="minorHAnsi"/>
      <w:color w:val="356DA2"/>
      <w:sz w:val="16"/>
      <w:szCs w:val="16"/>
    </w:rPr>
  </w:style>
  <w:style w:type="paragraph" w:customStyle="1" w:styleId="TS-TableSource">
    <w:name w:val="TS-Table Source"/>
    <w:basedOn w:val="TF-TblFN"/>
    <w:qFormat/>
    <w:rsid w:val="00740E61"/>
    <w:rPr>
      <w:color w:val="328612"/>
    </w:rPr>
  </w:style>
  <w:style w:type="paragraph" w:customStyle="1" w:styleId="TableText">
    <w:name w:val="Table Text"/>
    <w:qFormat/>
    <w:rsid w:val="00740E61"/>
    <w:pPr>
      <w:spacing w:after="0" w:line="260" w:lineRule="atLeast"/>
    </w:pPr>
    <w:rPr>
      <w:rFonts w:ascii="Calibri" w:eastAsia="Times New Roman" w:hAnsi="Calibri" w:cs="Times New Roman"/>
      <w:color w:val="356D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238421871F945A99D1EF10B9C867C" ma:contentTypeVersion="6" ma:contentTypeDescription="Create a new document." ma:contentTypeScope="" ma:versionID="e9491c3f2d4244a1e7454f73201b7704">
  <xsd:schema xmlns:xsd="http://www.w3.org/2001/XMLSchema" xmlns:xs="http://www.w3.org/2001/XMLSchema" xmlns:p="http://schemas.microsoft.com/office/2006/metadata/properties" xmlns:ns2="4391b338-5b9c-4dc4-bc95-065b7b776b24" targetNamespace="http://schemas.microsoft.com/office/2006/metadata/properties" ma:root="true" ma:fieldsID="509e5ac4d437c89231106e5c9ed38164" ns2:_="">
    <xsd:import namespace="4391b338-5b9c-4dc4-bc95-065b7b776b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b338-5b9c-4dc4-bc95-065b7b776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D0AE-A3EE-4B64-8223-C2F40B3BD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b338-5b9c-4dc4-bc95-065b7b776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7B444-C361-4DF9-A595-48FB40838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4A1DA-8F9B-4615-AE00-10C67A97FFC5}">
  <ds:schemaRefs>
    <ds:schemaRef ds:uri="http://schemas.microsoft.com/sharepoint/v3/contenttype/forms"/>
  </ds:schemaRefs>
</ds:datastoreItem>
</file>

<file path=customXml/itemProps4.xml><?xml version="1.0" encoding="utf-8"?>
<ds:datastoreItem xmlns:ds="http://schemas.openxmlformats.org/officeDocument/2006/customXml" ds:itemID="{8C68777A-E07C-421D-82C9-CCB9D20B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Brandt</dc:creator>
  <cp:keywords/>
  <dc:description/>
  <cp:lastModifiedBy>Rachel Crowley</cp:lastModifiedBy>
  <cp:revision>3</cp:revision>
  <dcterms:created xsi:type="dcterms:W3CDTF">2022-06-13T15:33:00Z</dcterms:created>
  <dcterms:modified xsi:type="dcterms:W3CDTF">2022-06-23T15:47:00Z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0x010100698238421871F945A99D1EF10B9C867C</vt:lpwstr>
  </property>
</Properties>
</file>