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C98BA" w14:textId="34A62C61" w:rsidR="00451F02" w:rsidRPr="001956DC" w:rsidRDefault="00FD5A0A" w:rsidP="001956DC">
      <w:pPr>
        <w:pStyle w:val="Heading1"/>
        <w:tabs>
          <w:tab w:val="clear" w:pos="1152"/>
        </w:tabs>
        <w:spacing w:line="240" w:lineRule="atLeast"/>
        <w:jc w:val="center"/>
        <w:rPr>
          <w:sz w:val="28"/>
          <w:szCs w:val="28"/>
        </w:rPr>
      </w:pPr>
      <w:r w:rsidRPr="001956DC">
        <w:rPr>
          <w:sz w:val="28"/>
          <w:szCs w:val="28"/>
        </w:rPr>
        <w:t xml:space="preserve">Building </w:t>
      </w:r>
      <w:r w:rsidR="009A0BD9">
        <w:rPr>
          <w:sz w:val="28"/>
          <w:szCs w:val="28"/>
        </w:rPr>
        <w:t xml:space="preserve">and Sustaining </w:t>
      </w:r>
      <w:r w:rsidRPr="001956DC">
        <w:rPr>
          <w:sz w:val="28"/>
          <w:szCs w:val="28"/>
        </w:rPr>
        <w:t>an Improvement Culture</w:t>
      </w:r>
    </w:p>
    <w:p w14:paraId="09F41B8D" w14:textId="7046D8B7" w:rsidR="003109D7" w:rsidRPr="001956DC" w:rsidRDefault="00966925" w:rsidP="001956DC">
      <w:pPr>
        <w:pStyle w:val="Heading2"/>
        <w:spacing w:after="40" w:line="240" w:lineRule="atLeast"/>
        <w:ind w:left="0" w:firstLine="0"/>
        <w:jc w:val="center"/>
        <w:rPr>
          <w:sz w:val="22"/>
          <w:szCs w:val="22"/>
        </w:rPr>
      </w:pPr>
      <w:r w:rsidRPr="001956DC">
        <w:rPr>
          <w:sz w:val="22"/>
          <w:szCs w:val="22"/>
        </w:rPr>
        <w:t>Vi</w:t>
      </w:r>
      <w:bookmarkStart w:id="0" w:name="_GoBack"/>
      <w:bookmarkEnd w:id="0"/>
      <w:r w:rsidRPr="001956DC">
        <w:rPr>
          <w:sz w:val="22"/>
          <w:szCs w:val="22"/>
        </w:rPr>
        <w:t xml:space="preserve">rtual Meeting </w:t>
      </w:r>
      <w:r w:rsidR="00E72C4D" w:rsidRPr="001956DC">
        <w:rPr>
          <w:sz w:val="22"/>
          <w:szCs w:val="22"/>
        </w:rPr>
        <w:t>Facilitat</w:t>
      </w:r>
      <w:r w:rsidRPr="001956DC">
        <w:rPr>
          <w:sz w:val="22"/>
          <w:szCs w:val="22"/>
        </w:rPr>
        <w:t>ion</w:t>
      </w:r>
      <w:r w:rsidR="00E72C4D" w:rsidRPr="001956DC">
        <w:rPr>
          <w:sz w:val="22"/>
          <w:szCs w:val="22"/>
        </w:rPr>
        <w:t xml:space="preserve"> Guide</w:t>
      </w:r>
    </w:p>
    <w:p w14:paraId="1E242A72" w14:textId="2405D914" w:rsidR="00D0527F" w:rsidRPr="001956DC" w:rsidRDefault="00E72C4D" w:rsidP="001956DC">
      <w:pPr>
        <w:pStyle w:val="Heading2"/>
        <w:spacing w:after="240" w:line="240" w:lineRule="atLeast"/>
        <w:ind w:left="0" w:firstLine="0"/>
        <w:jc w:val="center"/>
        <w:rPr>
          <w:sz w:val="22"/>
          <w:szCs w:val="22"/>
        </w:rPr>
      </w:pPr>
      <w:r w:rsidRPr="001956DC">
        <w:rPr>
          <w:sz w:val="22"/>
          <w:szCs w:val="22"/>
        </w:rPr>
        <w:t>[Date], [</w:t>
      </w:r>
      <w:r w:rsidR="00447A2E" w:rsidRPr="001956DC">
        <w:rPr>
          <w:sz w:val="22"/>
          <w:szCs w:val="22"/>
        </w:rPr>
        <w:t xml:space="preserve">Approx. </w:t>
      </w:r>
      <w:r w:rsidR="00BC7BFB" w:rsidRPr="001956DC">
        <w:rPr>
          <w:sz w:val="22"/>
          <w:szCs w:val="22"/>
        </w:rPr>
        <w:t>120</w:t>
      </w:r>
      <w:r w:rsidR="00ED5787" w:rsidRPr="001956DC">
        <w:rPr>
          <w:sz w:val="22"/>
          <w:szCs w:val="22"/>
        </w:rPr>
        <w:t>-</w:t>
      </w:r>
      <w:r w:rsidRPr="001956DC">
        <w:rPr>
          <w:sz w:val="22"/>
          <w:szCs w:val="22"/>
        </w:rPr>
        <w:t>Minute Time Slot]</w:t>
      </w:r>
    </w:p>
    <w:p w14:paraId="69238316" w14:textId="588E6455" w:rsidR="00426968" w:rsidRPr="001956DC" w:rsidRDefault="00426968" w:rsidP="006E103F">
      <w:pPr>
        <w:pStyle w:val="Heading3"/>
        <w:rPr>
          <w:sz w:val="22"/>
          <w:szCs w:val="22"/>
        </w:rPr>
      </w:pPr>
      <w:r w:rsidRPr="001956DC">
        <w:rPr>
          <w:sz w:val="22"/>
          <w:szCs w:val="22"/>
        </w:rPr>
        <w:t>Objectives:</w:t>
      </w:r>
    </w:p>
    <w:p w14:paraId="50C1D0BB" w14:textId="643E0063" w:rsidR="00A2118A" w:rsidRPr="00264A74" w:rsidRDefault="00A2118A" w:rsidP="001956DC">
      <w:pPr>
        <w:pStyle w:val="N1-1stBullet"/>
        <w:spacing w:line="240" w:lineRule="atLeast"/>
      </w:pPr>
      <w:bookmarkStart w:id="1" w:name="_Hlk65242829"/>
      <w:r w:rsidRPr="00264A74">
        <w:t xml:space="preserve">Review </w:t>
      </w:r>
      <w:r w:rsidR="00805F39">
        <w:t>d</w:t>
      </w:r>
      <w:r w:rsidR="00805F39" w:rsidRPr="00264A74">
        <w:t xml:space="preserve">efinitions </w:t>
      </w:r>
      <w:r w:rsidRPr="00264A74">
        <w:t xml:space="preserve">and </w:t>
      </w:r>
      <w:r w:rsidR="00805F39">
        <w:t>m</w:t>
      </w:r>
      <w:r w:rsidR="00805F39" w:rsidRPr="00264A74">
        <w:t xml:space="preserve">odels </w:t>
      </w:r>
      <w:r w:rsidRPr="00264A74">
        <w:t>of Networked Improvement Communities (NIC</w:t>
      </w:r>
      <w:r w:rsidR="00805F39">
        <w:t>s</w:t>
      </w:r>
      <w:r w:rsidRPr="00264A74">
        <w:t xml:space="preserve">) and </w:t>
      </w:r>
      <w:r w:rsidR="00805F39">
        <w:t>c</w:t>
      </w:r>
      <w:r w:rsidR="00805F39" w:rsidRPr="00264A74">
        <w:t xml:space="preserve">ontinuous </w:t>
      </w:r>
      <w:r w:rsidR="00805F39">
        <w:t>i</w:t>
      </w:r>
      <w:r w:rsidR="00805F39" w:rsidRPr="00264A74">
        <w:t>mprovement</w:t>
      </w:r>
    </w:p>
    <w:p w14:paraId="36718979" w14:textId="0BEA748F" w:rsidR="00A2118A" w:rsidRPr="00264A74" w:rsidRDefault="00A2118A" w:rsidP="001956DC">
      <w:pPr>
        <w:pStyle w:val="N1-1stBullet"/>
        <w:spacing w:line="240" w:lineRule="atLeast"/>
      </w:pPr>
      <w:r w:rsidRPr="00264A74">
        <w:t xml:space="preserve">Describe </w:t>
      </w:r>
      <w:r w:rsidR="00805F39">
        <w:t>s</w:t>
      </w:r>
      <w:r w:rsidR="00805F39" w:rsidRPr="00264A74">
        <w:t xml:space="preserve">trengths </w:t>
      </w:r>
      <w:r w:rsidRPr="00264A74">
        <w:t xml:space="preserve">and </w:t>
      </w:r>
      <w:r w:rsidR="00805F39">
        <w:t>w</w:t>
      </w:r>
      <w:r w:rsidR="00805F39" w:rsidRPr="00264A74">
        <w:t xml:space="preserve">eaknesses </w:t>
      </w:r>
      <w:r w:rsidRPr="00264A74">
        <w:t xml:space="preserve">of </w:t>
      </w:r>
      <w:r w:rsidR="00805F39">
        <w:t>v</w:t>
      </w:r>
      <w:r w:rsidR="00805F39" w:rsidRPr="00264A74">
        <w:t xml:space="preserve">arious </w:t>
      </w:r>
      <w:r w:rsidR="00805F39">
        <w:t>i</w:t>
      </w:r>
      <w:r w:rsidR="00805F39" w:rsidRPr="00264A74">
        <w:t xml:space="preserve">mprovement </w:t>
      </w:r>
      <w:r w:rsidR="00805F39">
        <w:t>f</w:t>
      </w:r>
      <w:r w:rsidR="00805F39" w:rsidRPr="00264A74">
        <w:t>rameworks</w:t>
      </w:r>
    </w:p>
    <w:p w14:paraId="3CB3C43E" w14:textId="7D4F1DB8" w:rsidR="00A2118A" w:rsidRPr="00264A74" w:rsidRDefault="00A2118A" w:rsidP="001956DC">
      <w:pPr>
        <w:pStyle w:val="N1-1stBullet"/>
        <w:spacing w:line="240" w:lineRule="atLeast"/>
      </w:pPr>
      <w:r w:rsidRPr="00264A74">
        <w:t xml:space="preserve">Examine </w:t>
      </w:r>
      <w:r w:rsidR="00805F39">
        <w:t>k</w:t>
      </w:r>
      <w:r w:rsidR="00805F39" w:rsidRPr="00264A74">
        <w:t xml:space="preserve">ey </w:t>
      </w:r>
      <w:r w:rsidR="00805F39">
        <w:t>p</w:t>
      </w:r>
      <w:r w:rsidR="00805F39" w:rsidRPr="00264A74">
        <w:t xml:space="preserve">rinciples </w:t>
      </w:r>
      <w:r w:rsidRPr="00264A74">
        <w:t xml:space="preserve">for </w:t>
      </w:r>
      <w:r w:rsidR="00805F39">
        <w:t>b</w:t>
      </w:r>
      <w:r w:rsidR="00805F39" w:rsidRPr="00264A74">
        <w:t xml:space="preserve">uilding </w:t>
      </w:r>
      <w:r w:rsidR="00805F39">
        <w:t>i</w:t>
      </w:r>
      <w:r w:rsidR="00805F39" w:rsidRPr="00264A74">
        <w:t xml:space="preserve">mprovement </w:t>
      </w:r>
      <w:r w:rsidR="00805F39">
        <w:t>c</w:t>
      </w:r>
      <w:r w:rsidR="00805F39" w:rsidRPr="00264A74">
        <w:t>ultures</w:t>
      </w:r>
    </w:p>
    <w:p w14:paraId="6109C593" w14:textId="31899FA7" w:rsidR="00A2118A" w:rsidRPr="00264A74" w:rsidRDefault="14112A8A" w:rsidP="001956DC">
      <w:pPr>
        <w:pStyle w:val="N1-1stBullet"/>
        <w:spacing w:after="240" w:line="240" w:lineRule="atLeast"/>
      </w:pPr>
      <w:r w:rsidRPr="14112A8A">
        <w:t xml:space="preserve">Evaluate </w:t>
      </w:r>
      <w:r w:rsidR="00805F39">
        <w:t>y</w:t>
      </w:r>
      <w:r w:rsidR="00805F39" w:rsidRPr="14112A8A">
        <w:t xml:space="preserve">our </w:t>
      </w:r>
      <w:r w:rsidR="00805F39">
        <w:t>o</w:t>
      </w:r>
      <w:r w:rsidR="00805F39" w:rsidRPr="14112A8A">
        <w:t xml:space="preserve">rganization’s </w:t>
      </w:r>
      <w:r w:rsidR="00805F39">
        <w:t>r</w:t>
      </w:r>
      <w:r w:rsidR="00805F39" w:rsidRPr="14112A8A">
        <w:t xml:space="preserve">eadiness </w:t>
      </w:r>
      <w:r w:rsidRPr="14112A8A">
        <w:t xml:space="preserve">to </w:t>
      </w:r>
      <w:r w:rsidR="00805F39">
        <w:t>e</w:t>
      </w:r>
      <w:r w:rsidR="00805F39" w:rsidRPr="14112A8A">
        <w:t xml:space="preserve">ngage </w:t>
      </w:r>
      <w:r w:rsidRPr="14112A8A">
        <w:t xml:space="preserve">in </w:t>
      </w:r>
      <w:r w:rsidR="00805F39">
        <w:t>c</w:t>
      </w:r>
      <w:r w:rsidR="00805F39" w:rsidRPr="14112A8A">
        <w:t xml:space="preserve">ontinuous </w:t>
      </w:r>
      <w:r w:rsidR="00805F39">
        <w:t>i</w:t>
      </w:r>
      <w:r w:rsidR="00805F39" w:rsidRPr="14112A8A">
        <w:t>mprovement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bottom w:w="29" w:type="dxa"/>
        </w:tblCellMar>
        <w:tblLook w:val="04A0" w:firstRow="1" w:lastRow="0" w:firstColumn="1" w:lastColumn="0" w:noHBand="0" w:noVBand="1"/>
      </w:tblPr>
      <w:tblGrid>
        <w:gridCol w:w="889"/>
        <w:gridCol w:w="1526"/>
        <w:gridCol w:w="1659"/>
        <w:gridCol w:w="7806"/>
        <w:gridCol w:w="2070"/>
      </w:tblGrid>
      <w:tr w:rsidR="00BC7BFB" w:rsidRPr="00CF4184" w14:paraId="06D83C7E" w14:textId="77777777" w:rsidTr="001956DC">
        <w:trPr>
          <w:trHeight w:val="432"/>
          <w:tblHeader/>
        </w:trPr>
        <w:tc>
          <w:tcPr>
            <w:tcW w:w="889" w:type="dxa"/>
            <w:tcBorders>
              <w:bottom w:val="single" w:sz="12" w:space="0" w:color="328612"/>
            </w:tcBorders>
            <w:vAlign w:val="center"/>
          </w:tcPr>
          <w:bookmarkEnd w:id="1"/>
          <w:p w14:paraId="3BD3CC6A" w14:textId="0DC1283C" w:rsidR="004E02AC" w:rsidRPr="00CF4184" w:rsidRDefault="004E02AC" w:rsidP="005C0ED0">
            <w:pPr>
              <w:pStyle w:val="TH-TableHeading"/>
            </w:pPr>
            <w:r w:rsidRPr="00CF4184">
              <w:t>Time</w:t>
            </w:r>
            <w:r w:rsidR="00807BFF" w:rsidRPr="00CF4184">
              <w:t>*</w:t>
            </w:r>
          </w:p>
        </w:tc>
        <w:tc>
          <w:tcPr>
            <w:tcW w:w="1526" w:type="dxa"/>
            <w:tcBorders>
              <w:bottom w:val="single" w:sz="12" w:space="0" w:color="328612"/>
            </w:tcBorders>
            <w:vAlign w:val="center"/>
          </w:tcPr>
          <w:p w14:paraId="4755DB6B" w14:textId="6B962B91" w:rsidR="004E02AC" w:rsidRPr="00CF4184" w:rsidRDefault="004E02AC" w:rsidP="005C0ED0">
            <w:pPr>
              <w:pStyle w:val="TH-TableHeading"/>
            </w:pPr>
            <w:r w:rsidRPr="00CF4184">
              <w:t>Topic</w:t>
            </w:r>
          </w:p>
        </w:tc>
        <w:tc>
          <w:tcPr>
            <w:tcW w:w="1659" w:type="dxa"/>
            <w:tcBorders>
              <w:bottom w:val="single" w:sz="12" w:space="0" w:color="328612"/>
            </w:tcBorders>
            <w:vAlign w:val="center"/>
          </w:tcPr>
          <w:p w14:paraId="43CF7AB4" w14:textId="70EA18C4" w:rsidR="004E02AC" w:rsidRPr="00CF4184" w:rsidRDefault="004E02AC" w:rsidP="005C0ED0">
            <w:pPr>
              <w:pStyle w:val="TH-TableHeading"/>
            </w:pPr>
            <w:r w:rsidRPr="00CF4184">
              <w:t>Activity</w:t>
            </w:r>
          </w:p>
        </w:tc>
        <w:tc>
          <w:tcPr>
            <w:tcW w:w="7806" w:type="dxa"/>
            <w:tcBorders>
              <w:bottom w:val="single" w:sz="12" w:space="0" w:color="328612"/>
            </w:tcBorders>
            <w:vAlign w:val="center"/>
          </w:tcPr>
          <w:p w14:paraId="09A31546" w14:textId="7C03588F" w:rsidR="004E02AC" w:rsidRPr="00CF4184" w:rsidRDefault="004E02AC" w:rsidP="005C0ED0">
            <w:pPr>
              <w:pStyle w:val="TH-TableHeading"/>
            </w:pPr>
            <w:r w:rsidRPr="00CF4184">
              <w:t>Learning Objectives</w:t>
            </w:r>
          </w:p>
        </w:tc>
        <w:tc>
          <w:tcPr>
            <w:tcW w:w="2070" w:type="dxa"/>
            <w:tcBorders>
              <w:bottom w:val="single" w:sz="12" w:space="0" w:color="328612"/>
            </w:tcBorders>
            <w:vAlign w:val="center"/>
          </w:tcPr>
          <w:p w14:paraId="5073D5A7" w14:textId="1EE7578B" w:rsidR="004E02AC" w:rsidRPr="00CF4184" w:rsidRDefault="004E02AC" w:rsidP="005C0ED0">
            <w:pPr>
              <w:pStyle w:val="TH-TableHeading"/>
            </w:pPr>
            <w:r w:rsidRPr="00CF4184">
              <w:t>Resources</w:t>
            </w:r>
          </w:p>
        </w:tc>
      </w:tr>
      <w:tr w:rsidR="00BC7BFB" w:rsidRPr="001956DC" w14:paraId="7CF03795" w14:textId="77777777" w:rsidTr="001956DC">
        <w:trPr>
          <w:trHeight w:val="1187"/>
        </w:trPr>
        <w:tc>
          <w:tcPr>
            <w:tcW w:w="889" w:type="dxa"/>
            <w:tcBorders>
              <w:top w:val="single" w:sz="12" w:space="0" w:color="328612"/>
              <w:right w:val="single" w:sz="4" w:space="0" w:color="328612"/>
            </w:tcBorders>
            <w:shd w:val="clear" w:color="auto" w:fill="EAF4EF"/>
          </w:tcPr>
          <w:p w14:paraId="6AA02923" w14:textId="6BB83A00" w:rsidR="004E02AC" w:rsidRPr="001956DC" w:rsidRDefault="006C74E5" w:rsidP="001956DC">
            <w:pPr>
              <w:spacing w:line="240" w:lineRule="atLeast"/>
              <w:rPr>
                <w:rFonts w:ascii="Cambria" w:hAnsi="Cambria" w:cs="Calibri"/>
                <w:b/>
                <w:bCs/>
                <w:sz w:val="20"/>
                <w:szCs w:val="20"/>
              </w:rPr>
            </w:pPr>
            <w:r w:rsidRPr="001956DC">
              <w:rPr>
                <w:rFonts w:ascii="Cambria" w:hAnsi="Cambria" w:cs="Calibri"/>
                <w:b/>
                <w:bCs/>
                <w:sz w:val="20"/>
                <w:szCs w:val="20"/>
              </w:rPr>
              <w:t>5</w:t>
            </w:r>
            <w:r w:rsidR="00371F24" w:rsidRPr="001956DC">
              <w:rPr>
                <w:rFonts w:ascii="Cambria" w:hAnsi="Cambria" w:cs="Calibri"/>
                <w:b/>
                <w:bCs/>
                <w:sz w:val="20"/>
                <w:szCs w:val="20"/>
              </w:rPr>
              <w:t xml:space="preserve"> </w:t>
            </w:r>
            <w:r w:rsidR="004E02AC" w:rsidRPr="001956DC">
              <w:rPr>
                <w:rFonts w:ascii="Cambria" w:hAnsi="Cambria" w:cs="Calibri"/>
                <w:b/>
                <w:bCs/>
                <w:sz w:val="20"/>
                <w:szCs w:val="20"/>
              </w:rPr>
              <w:t>min.</w:t>
            </w:r>
          </w:p>
        </w:tc>
        <w:tc>
          <w:tcPr>
            <w:tcW w:w="1526" w:type="dxa"/>
            <w:tcBorders>
              <w:top w:val="single" w:sz="12" w:space="0" w:color="328612"/>
              <w:left w:val="single" w:sz="4" w:space="0" w:color="328612"/>
              <w:right w:val="single" w:sz="4" w:space="0" w:color="328612"/>
            </w:tcBorders>
            <w:shd w:val="clear" w:color="auto" w:fill="EAF4EF"/>
          </w:tcPr>
          <w:p w14:paraId="1D57081F" w14:textId="45015492" w:rsidR="004E02AC" w:rsidRPr="001956DC" w:rsidRDefault="004E02AC" w:rsidP="001956DC">
            <w:pPr>
              <w:spacing w:line="240" w:lineRule="atLeast"/>
              <w:rPr>
                <w:rFonts w:ascii="Cambria" w:hAnsi="Cambria" w:cs="Calibri"/>
                <w:sz w:val="20"/>
                <w:szCs w:val="20"/>
              </w:rPr>
            </w:pPr>
            <w:r w:rsidRPr="001956DC">
              <w:rPr>
                <w:rFonts w:ascii="Cambria" w:hAnsi="Cambria" w:cs="Calibri"/>
                <w:sz w:val="20"/>
                <w:szCs w:val="20"/>
              </w:rPr>
              <w:t>Welcome and Introductions</w:t>
            </w:r>
          </w:p>
        </w:tc>
        <w:tc>
          <w:tcPr>
            <w:tcW w:w="1659" w:type="dxa"/>
            <w:tcBorders>
              <w:top w:val="single" w:sz="12" w:space="0" w:color="328612"/>
              <w:left w:val="single" w:sz="4" w:space="0" w:color="328612"/>
              <w:right w:val="single" w:sz="4" w:space="0" w:color="328612"/>
            </w:tcBorders>
            <w:shd w:val="clear" w:color="auto" w:fill="EAF4EF"/>
          </w:tcPr>
          <w:p w14:paraId="2EDF5E69" w14:textId="77777777" w:rsidR="004E02AC" w:rsidRPr="001956DC" w:rsidRDefault="004E02AC" w:rsidP="001956DC">
            <w:pPr>
              <w:spacing w:line="240" w:lineRule="atLeast"/>
              <w:rPr>
                <w:rFonts w:ascii="Cambria" w:hAnsi="Cambria" w:cs="Calibri"/>
                <w:sz w:val="20"/>
                <w:szCs w:val="20"/>
              </w:rPr>
            </w:pPr>
          </w:p>
        </w:tc>
        <w:tc>
          <w:tcPr>
            <w:tcW w:w="7806" w:type="dxa"/>
            <w:tcBorders>
              <w:top w:val="single" w:sz="12" w:space="0" w:color="328612"/>
              <w:left w:val="single" w:sz="4" w:space="0" w:color="328612"/>
              <w:right w:val="single" w:sz="4" w:space="0" w:color="328612"/>
            </w:tcBorders>
            <w:shd w:val="clear" w:color="auto" w:fill="EAF4EF"/>
          </w:tcPr>
          <w:p w14:paraId="269AD519" w14:textId="780AB465" w:rsidR="00F566B6" w:rsidRPr="001956DC" w:rsidRDefault="006C74E5" w:rsidP="001956DC">
            <w:pPr>
              <w:pStyle w:val="N1-1stBullet"/>
              <w:spacing w:after="0" w:line="240" w:lineRule="atLeast"/>
            </w:pPr>
            <w:r w:rsidRPr="001956DC">
              <w:t xml:space="preserve">Welcome participants and provide time for new participants to introduce themselves. </w:t>
            </w:r>
            <w:r w:rsidR="00426968" w:rsidRPr="001956DC">
              <w:t xml:space="preserve">Ask </w:t>
            </w:r>
            <w:r w:rsidRPr="001956DC">
              <w:t>new</w:t>
            </w:r>
            <w:r w:rsidR="00426968" w:rsidRPr="001956DC">
              <w:t xml:space="preserve"> member</w:t>
            </w:r>
            <w:r w:rsidRPr="001956DC">
              <w:t>s</w:t>
            </w:r>
            <w:r w:rsidR="00426968" w:rsidRPr="001956DC">
              <w:t xml:space="preserve"> to </w:t>
            </w:r>
            <w:r w:rsidR="008D72FA" w:rsidRPr="001956DC">
              <w:t>share</w:t>
            </w:r>
            <w:r w:rsidRPr="001956DC">
              <w:t xml:space="preserve"> their n</w:t>
            </w:r>
            <w:r w:rsidR="00F566B6" w:rsidRPr="001956DC">
              <w:t>ame</w:t>
            </w:r>
            <w:r w:rsidRPr="001956DC">
              <w:t>, p</w:t>
            </w:r>
            <w:r w:rsidR="00F566B6" w:rsidRPr="001956DC">
              <w:t>osition/title</w:t>
            </w:r>
            <w:r w:rsidRPr="001956DC">
              <w:t>, o</w:t>
            </w:r>
            <w:r w:rsidR="00426968" w:rsidRPr="001956DC">
              <w:t>rganization affiliation</w:t>
            </w:r>
            <w:r w:rsidRPr="001956DC">
              <w:t>, and c</w:t>
            </w:r>
            <w:r w:rsidR="00F566B6" w:rsidRPr="001956DC">
              <w:t>ore job responsibilities</w:t>
            </w:r>
            <w:r w:rsidR="00426968" w:rsidRPr="001956DC">
              <w:t>/</w:t>
            </w:r>
            <w:r w:rsidR="00F566B6" w:rsidRPr="001956DC">
              <w:t>expertise</w:t>
            </w:r>
            <w:r w:rsidR="004C21A3" w:rsidRPr="001956DC">
              <w:t>.</w:t>
            </w:r>
          </w:p>
          <w:p w14:paraId="4CD062A0" w14:textId="5931586F" w:rsidR="00A51C35" w:rsidRPr="001956DC" w:rsidRDefault="14112A8A" w:rsidP="001956DC">
            <w:pPr>
              <w:pStyle w:val="N1-1stBullet"/>
              <w:spacing w:after="0" w:line="240" w:lineRule="atLeast"/>
            </w:pPr>
            <w:r w:rsidRPr="001956DC">
              <w:t>Summarize the previous meeting objectives and outcomes (</w:t>
            </w:r>
            <w:r w:rsidR="00966D16" w:rsidRPr="001956DC">
              <w:t>Implementing Plan-Do-Study-Act [</w:t>
            </w:r>
            <w:r w:rsidRPr="001956DC">
              <w:t>PDSA</w:t>
            </w:r>
            <w:r w:rsidR="00966D16" w:rsidRPr="001956DC">
              <w:t>]</w:t>
            </w:r>
            <w:r w:rsidRPr="001956DC">
              <w:t xml:space="preserve"> </w:t>
            </w:r>
            <w:r w:rsidR="00966D16" w:rsidRPr="001956DC">
              <w:t>C</w:t>
            </w:r>
            <w:r w:rsidRPr="001956DC">
              <w:t xml:space="preserve">ycles). </w:t>
            </w:r>
          </w:p>
          <w:p w14:paraId="4A35B11E" w14:textId="2B911621" w:rsidR="00ED4383" w:rsidRPr="001956DC" w:rsidRDefault="006C74E5" w:rsidP="001956DC">
            <w:pPr>
              <w:pStyle w:val="N1-1stBullet"/>
              <w:spacing w:after="0" w:line="240" w:lineRule="atLeast"/>
            </w:pPr>
            <w:r w:rsidRPr="001956DC">
              <w:t>Introduce key objectives for this meeting (see above)</w:t>
            </w:r>
            <w:r w:rsidR="004C21A3" w:rsidRPr="001956DC">
              <w:t>.</w:t>
            </w:r>
          </w:p>
        </w:tc>
        <w:tc>
          <w:tcPr>
            <w:tcW w:w="2070" w:type="dxa"/>
            <w:tcBorders>
              <w:top w:val="single" w:sz="12" w:space="0" w:color="328612"/>
              <w:left w:val="single" w:sz="4" w:space="0" w:color="328612"/>
            </w:tcBorders>
            <w:shd w:val="clear" w:color="auto" w:fill="EAF4EF"/>
          </w:tcPr>
          <w:p w14:paraId="08D8B6FA" w14:textId="7D10CA72" w:rsidR="00BB6C66" w:rsidRPr="001956DC" w:rsidRDefault="00BB6C66" w:rsidP="001956DC">
            <w:pPr>
              <w:pStyle w:val="N1-1stBullet"/>
              <w:spacing w:after="0" w:line="240" w:lineRule="atLeast"/>
            </w:pPr>
            <w:r w:rsidRPr="001956DC">
              <w:t>Agenda</w:t>
            </w:r>
          </w:p>
        </w:tc>
      </w:tr>
      <w:tr w:rsidR="00BC7BFB" w:rsidRPr="001956DC" w14:paraId="109A205C" w14:textId="77777777" w:rsidTr="001956DC">
        <w:tc>
          <w:tcPr>
            <w:tcW w:w="889" w:type="dxa"/>
            <w:tcBorders>
              <w:right w:val="single" w:sz="4" w:space="0" w:color="328612"/>
            </w:tcBorders>
          </w:tcPr>
          <w:p w14:paraId="6F58F610" w14:textId="17B7AB0A" w:rsidR="00E72C4D" w:rsidRPr="001956DC" w:rsidRDefault="00BC7BFB" w:rsidP="001956DC">
            <w:pPr>
              <w:spacing w:line="240" w:lineRule="atLeast"/>
              <w:rPr>
                <w:rFonts w:ascii="Cambria" w:hAnsi="Cambria" w:cs="Calibri"/>
                <w:b/>
                <w:bCs/>
                <w:sz w:val="20"/>
                <w:szCs w:val="20"/>
              </w:rPr>
            </w:pPr>
            <w:r w:rsidRPr="001956DC">
              <w:rPr>
                <w:rFonts w:ascii="Cambria" w:hAnsi="Cambria" w:cs="Calibri"/>
                <w:b/>
                <w:bCs/>
                <w:sz w:val="20"/>
                <w:szCs w:val="20"/>
              </w:rPr>
              <w:t>45</w:t>
            </w:r>
            <w:r w:rsidR="00DD779B" w:rsidRPr="001956DC">
              <w:rPr>
                <w:rFonts w:ascii="Cambria" w:hAnsi="Cambria" w:cs="Calibri"/>
                <w:b/>
                <w:bCs/>
                <w:sz w:val="20"/>
                <w:szCs w:val="20"/>
              </w:rPr>
              <w:t xml:space="preserve"> </w:t>
            </w:r>
            <w:r w:rsidR="00426968" w:rsidRPr="001956DC">
              <w:rPr>
                <w:rFonts w:ascii="Cambria" w:hAnsi="Cambria" w:cs="Calibri"/>
                <w:b/>
                <w:bCs/>
                <w:sz w:val="20"/>
                <w:szCs w:val="20"/>
              </w:rPr>
              <w:t>min.</w:t>
            </w:r>
          </w:p>
        </w:tc>
        <w:tc>
          <w:tcPr>
            <w:tcW w:w="1526" w:type="dxa"/>
            <w:tcBorders>
              <w:left w:val="single" w:sz="4" w:space="0" w:color="328612"/>
              <w:right w:val="single" w:sz="4" w:space="0" w:color="328612"/>
            </w:tcBorders>
          </w:tcPr>
          <w:p w14:paraId="42E4A9A4" w14:textId="01652EF6" w:rsidR="00E72C4D" w:rsidRPr="001956DC" w:rsidRDefault="00A2118A" w:rsidP="001956DC">
            <w:pPr>
              <w:spacing w:line="240" w:lineRule="atLeast"/>
              <w:rPr>
                <w:rFonts w:ascii="Cambria" w:hAnsi="Cambria" w:cs="Calibri"/>
                <w:sz w:val="20"/>
                <w:szCs w:val="20"/>
              </w:rPr>
            </w:pPr>
            <w:r w:rsidRPr="001956DC">
              <w:rPr>
                <w:rFonts w:ascii="Cambria" w:hAnsi="Cambria" w:cs="Calibri"/>
                <w:sz w:val="20"/>
                <w:szCs w:val="20"/>
              </w:rPr>
              <w:t>Building an Improvement Culture</w:t>
            </w:r>
          </w:p>
        </w:tc>
        <w:tc>
          <w:tcPr>
            <w:tcW w:w="1659" w:type="dxa"/>
            <w:tcBorders>
              <w:left w:val="single" w:sz="4" w:space="0" w:color="328612"/>
              <w:right w:val="single" w:sz="4" w:space="0" w:color="328612"/>
            </w:tcBorders>
          </w:tcPr>
          <w:p w14:paraId="594CCCB9" w14:textId="6E5EE75C" w:rsidR="00E72C4D" w:rsidRPr="001956DC" w:rsidRDefault="00332592" w:rsidP="001956DC">
            <w:pPr>
              <w:spacing w:line="240" w:lineRule="atLeast"/>
              <w:rPr>
                <w:rFonts w:ascii="Cambria" w:hAnsi="Cambria" w:cs="Calibri"/>
                <w:sz w:val="20"/>
                <w:szCs w:val="20"/>
              </w:rPr>
            </w:pPr>
            <w:r w:rsidRPr="001956DC">
              <w:rPr>
                <w:rFonts w:ascii="Cambria" w:hAnsi="Cambria" w:cs="Calibri"/>
                <w:sz w:val="20"/>
                <w:szCs w:val="20"/>
              </w:rPr>
              <w:t>Presentation</w:t>
            </w:r>
          </w:p>
        </w:tc>
        <w:tc>
          <w:tcPr>
            <w:tcW w:w="7806" w:type="dxa"/>
            <w:tcBorders>
              <w:left w:val="single" w:sz="4" w:space="0" w:color="328612"/>
              <w:right w:val="single" w:sz="4" w:space="0" w:color="328612"/>
            </w:tcBorders>
          </w:tcPr>
          <w:p w14:paraId="05C3955A" w14:textId="0F907296" w:rsidR="00E440CD" w:rsidRPr="001956DC" w:rsidRDefault="009B3ABE" w:rsidP="001956DC">
            <w:pPr>
              <w:pStyle w:val="N1-1stBullet"/>
              <w:spacing w:after="0" w:line="240" w:lineRule="atLeast"/>
            </w:pPr>
            <w:r w:rsidRPr="001956DC">
              <w:t xml:space="preserve">Using the </w:t>
            </w:r>
            <w:r w:rsidR="00B53B8B" w:rsidRPr="001956DC">
              <w:t>PowerPoint (</w:t>
            </w:r>
            <w:r w:rsidRPr="001956DC">
              <w:t>PPT</w:t>
            </w:r>
            <w:r w:rsidR="00B53B8B" w:rsidRPr="001956DC">
              <w:t>)</w:t>
            </w:r>
            <w:r w:rsidRPr="001956DC">
              <w:t xml:space="preserve"> presentation, </w:t>
            </w:r>
            <w:r w:rsidR="00A2118A" w:rsidRPr="001956DC">
              <w:t xml:space="preserve">present on principles for building an improvement culture. </w:t>
            </w:r>
          </w:p>
          <w:p w14:paraId="6C85787B" w14:textId="1098551A" w:rsidR="00030B39" w:rsidRPr="001956DC" w:rsidRDefault="009B3ABE" w:rsidP="001956DC">
            <w:pPr>
              <w:pStyle w:val="N1-1stBullet"/>
              <w:spacing w:after="0" w:line="240" w:lineRule="atLeast"/>
            </w:pPr>
            <w:r w:rsidRPr="001956DC">
              <w:t xml:space="preserve">Allow time for discussion and Q&amp;A. </w:t>
            </w:r>
            <w:r w:rsidR="004313E3" w:rsidRPr="001956DC">
              <w:t xml:space="preserve">Show PPT slides </w:t>
            </w:r>
            <w:r w:rsidR="00BD132B" w:rsidRPr="001956DC">
              <w:t>9-</w:t>
            </w:r>
            <w:r w:rsidR="004313E3" w:rsidRPr="001956DC">
              <w:t xml:space="preserve">10 and allow the group to reflect on each continuous improvement mode. Ideally, an organization should pull from multiple improvement models when implementing improvements (e.g., performance management, evidence-based practice; see PPT slides </w:t>
            </w:r>
            <w:r w:rsidR="00BD132B" w:rsidRPr="001956DC">
              <w:t>9-</w:t>
            </w:r>
            <w:r w:rsidR="004313E3" w:rsidRPr="001956DC">
              <w:t xml:space="preserve">10). </w:t>
            </w:r>
          </w:p>
          <w:p w14:paraId="3B12329B" w14:textId="77777777" w:rsidR="00030B39" w:rsidRPr="001956DC" w:rsidRDefault="00AE5267" w:rsidP="001956DC">
            <w:pPr>
              <w:pStyle w:val="N1-1stBullet"/>
              <w:spacing w:after="0" w:line="240" w:lineRule="atLeast"/>
            </w:pPr>
            <w:r w:rsidRPr="001956DC">
              <w:t xml:space="preserve">What improvement model(s) </w:t>
            </w:r>
            <w:r w:rsidR="007A0EA7" w:rsidRPr="001956DC">
              <w:t>does our organization</w:t>
            </w:r>
            <w:r w:rsidR="006A54D1" w:rsidRPr="001956DC">
              <w:t xml:space="preserve"> </w:t>
            </w:r>
            <w:r w:rsidR="004313E3" w:rsidRPr="001956DC">
              <w:t xml:space="preserve">prioritize? </w:t>
            </w:r>
          </w:p>
          <w:p w14:paraId="71110132" w14:textId="77777777" w:rsidR="00030B39" w:rsidRPr="001956DC" w:rsidRDefault="004313E3" w:rsidP="001956DC">
            <w:pPr>
              <w:pStyle w:val="N1-1stBullet"/>
              <w:spacing w:after="0" w:line="240" w:lineRule="atLeast"/>
            </w:pPr>
            <w:r w:rsidRPr="001956DC">
              <w:t xml:space="preserve">How is reliance on that model serving us now? </w:t>
            </w:r>
          </w:p>
          <w:p w14:paraId="4AAE943B" w14:textId="1BC38936" w:rsidR="00030B39" w:rsidRPr="001956DC" w:rsidRDefault="004313E3" w:rsidP="001956DC">
            <w:pPr>
              <w:pStyle w:val="N1-1stBullet"/>
              <w:spacing w:after="0" w:line="240" w:lineRule="atLeast"/>
            </w:pPr>
            <w:r w:rsidRPr="001956DC">
              <w:t xml:space="preserve">Are we, as an organization, </w:t>
            </w:r>
            <w:r w:rsidR="008A2DD7" w:rsidRPr="001956DC">
              <w:t xml:space="preserve">too </w:t>
            </w:r>
            <w:r w:rsidRPr="001956DC">
              <w:t xml:space="preserve">reliant on one particular model of improvement? </w:t>
            </w:r>
            <w:r w:rsidR="00030B39" w:rsidRPr="001956DC">
              <w:t xml:space="preserve">If so, how is that supporting or </w:t>
            </w:r>
            <w:r w:rsidR="008A2DD7" w:rsidRPr="001956DC">
              <w:t>lim</w:t>
            </w:r>
            <w:r w:rsidR="00030B39" w:rsidRPr="001956DC">
              <w:t xml:space="preserve">iting our ability to implement a continuous improvement model? For example, </w:t>
            </w:r>
            <w:r w:rsidR="00AE1A49" w:rsidRPr="001956DC">
              <w:t xml:space="preserve">your organization’s </w:t>
            </w:r>
            <w:r w:rsidR="00AE1A49" w:rsidRPr="001956DC">
              <w:rPr>
                <w:b/>
                <w:bCs/>
                <w:i/>
                <w:iCs/>
              </w:rPr>
              <w:t>performance management</w:t>
            </w:r>
            <w:r w:rsidR="00AE1A49" w:rsidRPr="001956DC">
              <w:t xml:space="preserve"> process may be robust and effective, as evidenced by the organization’s clear </w:t>
            </w:r>
            <w:r w:rsidR="00AE1A49" w:rsidRPr="001956DC">
              <w:lastRenderedPageBreak/>
              <w:t xml:space="preserve">improvement targets, accountability procedures, and sophisticated data dashboards. However, </w:t>
            </w:r>
            <w:r w:rsidR="00DC0BF3" w:rsidRPr="001956DC">
              <w:t>intensive investments in strong</w:t>
            </w:r>
            <w:r w:rsidR="00AE1A49" w:rsidRPr="001956DC">
              <w:t xml:space="preserve"> performance management procedures may come at the e</w:t>
            </w:r>
            <w:r w:rsidR="00DC0BF3" w:rsidRPr="001956DC">
              <w:t>xpense of local flexibility. That is, local schools may not have the time or data literacy necessary for interpreting data and applying it to contextually based problems. What are some examples where this type of overreliance on one model, at the expense of another, is occurring in your organization?</w:t>
            </w:r>
          </w:p>
          <w:p w14:paraId="55C75C41" w14:textId="313F429A" w:rsidR="00030B39" w:rsidRPr="001956DC" w:rsidRDefault="00030B39" w:rsidP="001956DC">
            <w:pPr>
              <w:pStyle w:val="N1-1stBullet"/>
              <w:spacing w:after="0" w:line="240" w:lineRule="atLeast"/>
            </w:pPr>
            <w:r w:rsidRPr="001956DC">
              <w:t xml:space="preserve">Reflect on principles for building an improvement culture (see PPT slides </w:t>
            </w:r>
            <w:r w:rsidR="00BD132B" w:rsidRPr="001956DC">
              <w:t>11-33</w:t>
            </w:r>
            <w:r w:rsidRPr="001956DC">
              <w:t xml:space="preserve">) </w:t>
            </w:r>
          </w:p>
          <w:p w14:paraId="3F11ECEE" w14:textId="2E2FA573" w:rsidR="00983CA3" w:rsidRPr="001956DC" w:rsidRDefault="00030B39" w:rsidP="001956DC">
            <w:pPr>
              <w:pStyle w:val="N1-1stBullet"/>
              <w:spacing w:after="0" w:line="240" w:lineRule="atLeast"/>
            </w:pPr>
            <w:r w:rsidRPr="001956DC">
              <w:t>W</w:t>
            </w:r>
            <w:r w:rsidR="00983CA3" w:rsidRPr="001956DC">
              <w:t>hat do we, as an organization, do well</w:t>
            </w:r>
            <w:r w:rsidRPr="001956DC">
              <w:t>? Where do we excel in terms of implementing these principles?</w:t>
            </w:r>
          </w:p>
          <w:p w14:paraId="4788C2B2" w14:textId="4BA160A3" w:rsidR="00983CA3" w:rsidRPr="001956DC" w:rsidRDefault="00983CA3" w:rsidP="001956DC">
            <w:pPr>
              <w:pStyle w:val="N1-1stBullet"/>
              <w:spacing w:after="0" w:line="240" w:lineRule="atLeast"/>
            </w:pPr>
            <w:r w:rsidRPr="001956DC">
              <w:t>What are our we</w:t>
            </w:r>
            <w:r w:rsidR="00030B39" w:rsidRPr="001956DC">
              <w:t>aknesses</w:t>
            </w:r>
            <w:r w:rsidRPr="001956DC">
              <w:t xml:space="preserve">? What barriers must we remove to improve in these </w:t>
            </w:r>
            <w:r w:rsidR="00030B39" w:rsidRPr="001956DC">
              <w:t>weaknesses</w:t>
            </w:r>
            <w:r w:rsidRPr="001956DC">
              <w:t>?</w:t>
            </w:r>
          </w:p>
          <w:p w14:paraId="742AF271" w14:textId="77777777" w:rsidR="00030B39" w:rsidRPr="001956DC" w:rsidRDefault="00983CA3" w:rsidP="001956DC">
            <w:pPr>
              <w:pStyle w:val="N1-1stBullet"/>
              <w:spacing w:after="0" w:line="240" w:lineRule="atLeast"/>
            </w:pPr>
            <w:r w:rsidRPr="001956DC">
              <w:t xml:space="preserve">What sites (e.g., schools, classrooms) represent exemplars for implementing a continuous improvement model? </w:t>
            </w:r>
          </w:p>
          <w:p w14:paraId="7256AE5E" w14:textId="3288A554" w:rsidR="002027F5" w:rsidRPr="001956DC" w:rsidRDefault="00983CA3" w:rsidP="001956DC">
            <w:pPr>
              <w:pStyle w:val="N1-1stBullet"/>
              <w:spacing w:after="0" w:line="240" w:lineRule="atLeast"/>
            </w:pPr>
            <w:r w:rsidRPr="001956DC">
              <w:t xml:space="preserve">How can we capitalize on these sites’ strengths as we consider building organizational capacity to scale continuous improvement? </w:t>
            </w:r>
          </w:p>
        </w:tc>
        <w:tc>
          <w:tcPr>
            <w:tcW w:w="2070" w:type="dxa"/>
            <w:tcBorders>
              <w:left w:val="single" w:sz="4" w:space="0" w:color="328612"/>
            </w:tcBorders>
          </w:tcPr>
          <w:p w14:paraId="026C5233" w14:textId="0CCA26E8" w:rsidR="0083243F" w:rsidRPr="001956DC" w:rsidRDefault="009312C8" w:rsidP="001956DC">
            <w:pPr>
              <w:pStyle w:val="N1-1stBullet"/>
              <w:spacing w:after="0" w:line="240" w:lineRule="atLeast"/>
            </w:pPr>
            <w:r w:rsidRPr="001956DC">
              <w:lastRenderedPageBreak/>
              <w:t>PPT Presentation</w:t>
            </w:r>
          </w:p>
        </w:tc>
      </w:tr>
      <w:tr w:rsidR="00BC7BFB" w:rsidRPr="001956DC" w14:paraId="0E64693C" w14:textId="77777777" w:rsidTr="001956DC">
        <w:tc>
          <w:tcPr>
            <w:tcW w:w="889" w:type="dxa"/>
            <w:tcBorders>
              <w:right w:val="single" w:sz="4" w:space="0" w:color="328612"/>
            </w:tcBorders>
            <w:shd w:val="clear" w:color="auto" w:fill="EAF4EF"/>
          </w:tcPr>
          <w:p w14:paraId="07F4274A" w14:textId="7D85A8BF" w:rsidR="00E72C4D" w:rsidRPr="001956DC" w:rsidRDefault="00BC7BFB" w:rsidP="001956DC">
            <w:pPr>
              <w:spacing w:line="240" w:lineRule="atLeast"/>
              <w:rPr>
                <w:rFonts w:ascii="Cambria" w:hAnsi="Cambria" w:cs="Calibri"/>
                <w:b/>
                <w:bCs/>
                <w:sz w:val="20"/>
                <w:szCs w:val="20"/>
              </w:rPr>
            </w:pPr>
            <w:r w:rsidRPr="001956DC">
              <w:rPr>
                <w:rFonts w:ascii="Cambria" w:hAnsi="Cambria" w:cs="Calibri"/>
                <w:b/>
                <w:bCs/>
                <w:sz w:val="20"/>
                <w:szCs w:val="20"/>
              </w:rPr>
              <w:t>40</w:t>
            </w:r>
            <w:r w:rsidR="00A0324D" w:rsidRPr="001956DC">
              <w:rPr>
                <w:rFonts w:ascii="Cambria" w:hAnsi="Cambria" w:cs="Calibri"/>
                <w:b/>
                <w:bCs/>
                <w:sz w:val="20"/>
                <w:szCs w:val="20"/>
              </w:rPr>
              <w:t xml:space="preserve"> </w:t>
            </w:r>
            <w:r w:rsidR="006E2731" w:rsidRPr="001956DC">
              <w:rPr>
                <w:rFonts w:ascii="Cambria" w:hAnsi="Cambria" w:cs="Calibri"/>
                <w:b/>
                <w:bCs/>
                <w:sz w:val="20"/>
                <w:szCs w:val="20"/>
              </w:rPr>
              <w:t>min.</w:t>
            </w:r>
          </w:p>
        </w:tc>
        <w:tc>
          <w:tcPr>
            <w:tcW w:w="1526" w:type="dxa"/>
            <w:tcBorders>
              <w:left w:val="single" w:sz="4" w:space="0" w:color="328612"/>
              <w:right w:val="single" w:sz="4" w:space="0" w:color="328612"/>
            </w:tcBorders>
            <w:shd w:val="clear" w:color="auto" w:fill="EAF4EF"/>
          </w:tcPr>
          <w:p w14:paraId="3C93E83F" w14:textId="1001071D" w:rsidR="00E72C4D" w:rsidRPr="001956DC" w:rsidRDefault="00BC7BFB" w:rsidP="001956DC">
            <w:pPr>
              <w:spacing w:line="240" w:lineRule="atLeast"/>
              <w:rPr>
                <w:rFonts w:ascii="Cambria" w:hAnsi="Cambria" w:cs="Calibri"/>
                <w:sz w:val="20"/>
                <w:szCs w:val="20"/>
              </w:rPr>
            </w:pPr>
            <w:r w:rsidRPr="001956DC">
              <w:rPr>
                <w:rFonts w:ascii="Cambria" w:hAnsi="Cambria" w:cs="Calibri"/>
                <w:sz w:val="20"/>
                <w:szCs w:val="20"/>
              </w:rPr>
              <w:t>Assessing Readiness for Continuous Improvement</w:t>
            </w:r>
          </w:p>
        </w:tc>
        <w:tc>
          <w:tcPr>
            <w:tcW w:w="1659" w:type="dxa"/>
            <w:tcBorders>
              <w:left w:val="single" w:sz="4" w:space="0" w:color="328612"/>
              <w:right w:val="single" w:sz="4" w:space="0" w:color="328612"/>
            </w:tcBorders>
            <w:shd w:val="clear" w:color="auto" w:fill="EAF4EF"/>
          </w:tcPr>
          <w:p w14:paraId="114192BB" w14:textId="18D623C7" w:rsidR="00E72C4D" w:rsidRPr="001956DC" w:rsidRDefault="00F8431C" w:rsidP="001956DC">
            <w:pPr>
              <w:spacing w:line="240" w:lineRule="atLeast"/>
              <w:rPr>
                <w:rFonts w:ascii="Cambria" w:hAnsi="Cambria" w:cs="Calibri"/>
                <w:sz w:val="20"/>
                <w:szCs w:val="20"/>
              </w:rPr>
            </w:pPr>
            <w:r w:rsidRPr="001956DC">
              <w:rPr>
                <w:rFonts w:ascii="Cambria" w:hAnsi="Cambria" w:cs="Calibri"/>
                <w:sz w:val="20"/>
                <w:szCs w:val="20"/>
              </w:rPr>
              <w:t>Conduct a Readiness Assessment</w:t>
            </w:r>
            <w:r w:rsidR="006A54D1" w:rsidRPr="001956DC">
              <w:rPr>
                <w:rFonts w:ascii="Cambria" w:hAnsi="Cambria" w:cs="Calibri"/>
                <w:sz w:val="20"/>
                <w:szCs w:val="20"/>
              </w:rPr>
              <w:t xml:space="preserve"> </w:t>
            </w:r>
          </w:p>
        </w:tc>
        <w:tc>
          <w:tcPr>
            <w:tcW w:w="7806" w:type="dxa"/>
            <w:tcBorders>
              <w:left w:val="single" w:sz="4" w:space="0" w:color="328612"/>
              <w:right w:val="single" w:sz="4" w:space="0" w:color="328612"/>
            </w:tcBorders>
            <w:shd w:val="clear" w:color="auto" w:fill="EAF4EF"/>
          </w:tcPr>
          <w:p w14:paraId="03D7C53D" w14:textId="5C99566F" w:rsidR="00A61512" w:rsidRPr="001956DC" w:rsidRDefault="0015678B" w:rsidP="001956DC">
            <w:pPr>
              <w:pStyle w:val="N1-1stBullet"/>
              <w:spacing w:after="0" w:line="240" w:lineRule="atLeast"/>
            </w:pPr>
            <w:r w:rsidRPr="001956DC">
              <w:t xml:space="preserve">Use the </w:t>
            </w:r>
            <w:r w:rsidRPr="001956DC">
              <w:rPr>
                <w:i/>
                <w:iCs/>
              </w:rPr>
              <w:t xml:space="preserve">Checklist for Assessing Readiness </w:t>
            </w:r>
            <w:r w:rsidR="006F745A" w:rsidRPr="001956DC">
              <w:rPr>
                <w:i/>
                <w:iCs/>
              </w:rPr>
              <w:t xml:space="preserve">for </w:t>
            </w:r>
            <w:r w:rsidRPr="001956DC">
              <w:rPr>
                <w:i/>
                <w:iCs/>
              </w:rPr>
              <w:t>a Continuous Improvement Effort</w:t>
            </w:r>
            <w:r w:rsidRPr="001956DC">
              <w:t xml:space="preserve"> (</w:t>
            </w:r>
            <w:proofErr w:type="spellStart"/>
            <w:r w:rsidRPr="001956DC">
              <w:t>Shakman</w:t>
            </w:r>
            <w:proofErr w:type="spellEnd"/>
            <w:r w:rsidRPr="001956DC">
              <w:t xml:space="preserve"> et al., 2020, p</w:t>
            </w:r>
            <w:r w:rsidR="006F745A" w:rsidRPr="001956DC">
              <w:t>p</w:t>
            </w:r>
            <w:r w:rsidRPr="001956DC">
              <w:t>. I-5) to determine strengths and weaknesses in the organization’s readiness to implement continuous improvement</w:t>
            </w:r>
            <w:r w:rsidR="00F8431C" w:rsidRPr="001956DC">
              <w:t xml:space="preserve">. </w:t>
            </w:r>
          </w:p>
          <w:p w14:paraId="21F16E66" w14:textId="4E66BAC0" w:rsidR="000A46D2" w:rsidRPr="001956DC" w:rsidRDefault="00A87B0D" w:rsidP="001956DC">
            <w:pPr>
              <w:pStyle w:val="N1-1stBullet"/>
              <w:spacing w:after="0" w:line="240" w:lineRule="atLeast"/>
            </w:pPr>
            <w:r w:rsidRPr="001956DC">
              <w:t xml:space="preserve">Provide the handout to each person on the NIC Initiation Team. Ask the team to </w:t>
            </w:r>
            <w:r w:rsidR="006A22A1" w:rsidRPr="001956DC">
              <w:rPr>
                <w:i/>
                <w:iCs/>
              </w:rPr>
              <w:t xml:space="preserve">individually </w:t>
            </w:r>
            <w:r w:rsidR="006A22A1" w:rsidRPr="001956DC">
              <w:t xml:space="preserve">complete the checklist </w:t>
            </w:r>
            <w:r w:rsidR="00C61358" w:rsidRPr="001956DC">
              <w:t xml:space="preserve">by </w:t>
            </w:r>
            <w:r w:rsidR="00256DDF" w:rsidRPr="001956DC">
              <w:t xml:space="preserve">(1) </w:t>
            </w:r>
            <w:r w:rsidR="00C61358" w:rsidRPr="001956DC">
              <w:t>marking</w:t>
            </w:r>
            <w:r w:rsidR="006A22A1" w:rsidRPr="001956DC">
              <w:t xml:space="preserve"> </w:t>
            </w:r>
            <w:r w:rsidR="00256DDF" w:rsidRPr="001956DC">
              <w:t>the boxes (</w:t>
            </w:r>
            <w:sdt>
              <w:sdtPr>
                <w:id w:val="-1699163565"/>
                <w14:checkbox>
                  <w14:checked w14:val="1"/>
                  <w14:checkedState w14:val="2612" w14:font="MS Gothic"/>
                  <w14:uncheckedState w14:val="2610" w14:font="MS Gothic"/>
                </w14:checkbox>
              </w:sdtPr>
              <w:sdtEndPr/>
              <w:sdtContent>
                <w:r w:rsidR="00256DDF" w:rsidRPr="001956DC">
                  <w:rPr>
                    <w:rFonts w:ascii="Segoe UI Symbol" w:eastAsia="MS Gothic" w:hAnsi="Segoe UI Symbol" w:cs="Segoe UI Symbol"/>
                  </w:rPr>
                  <w:t>☒</w:t>
                </w:r>
              </w:sdtContent>
            </w:sdt>
            <w:r w:rsidR="00256DDF" w:rsidRPr="001956DC">
              <w:t xml:space="preserve">) </w:t>
            </w:r>
            <w:r w:rsidR="006A22A1" w:rsidRPr="001956DC">
              <w:t>where the organization meets the criteria</w:t>
            </w:r>
            <w:r w:rsidR="00256DDF" w:rsidRPr="001956DC">
              <w:t>, (2) leaving the box blank where the organization</w:t>
            </w:r>
            <w:r w:rsidR="006F745A" w:rsidRPr="001956DC">
              <w:t xml:space="preserve"> </w:t>
            </w:r>
            <w:r w:rsidR="00256DDF" w:rsidRPr="001956DC">
              <w:t>does not meet the criteria, and (3) document</w:t>
            </w:r>
            <w:r w:rsidR="000A46D2" w:rsidRPr="001956DC">
              <w:t>ing</w:t>
            </w:r>
            <w:r w:rsidR="00256DDF" w:rsidRPr="001956DC">
              <w:t xml:space="preserve"> </w:t>
            </w:r>
            <w:r w:rsidR="000A46D2" w:rsidRPr="001956DC">
              <w:t>the</w:t>
            </w:r>
            <w:r w:rsidR="00256DDF" w:rsidRPr="001956DC">
              <w:t xml:space="preserve"> evidence</w:t>
            </w:r>
            <w:r w:rsidR="000A46D2" w:rsidRPr="001956DC">
              <w:t xml:space="preserve"> to support each answer</w:t>
            </w:r>
            <w:r w:rsidR="00256DDF" w:rsidRPr="001956DC">
              <w:t>.</w:t>
            </w:r>
          </w:p>
          <w:p w14:paraId="1BA6BB3F" w14:textId="1B97DE37" w:rsidR="000A46D2" w:rsidRPr="001956DC" w:rsidRDefault="000A46D2" w:rsidP="001956DC">
            <w:pPr>
              <w:pStyle w:val="N1-1stBullet"/>
              <w:spacing w:after="0" w:line="240" w:lineRule="atLeast"/>
            </w:pPr>
            <w:r w:rsidRPr="001956DC">
              <w:t xml:space="preserve">As a large group, facilitate a discussion to reach </w:t>
            </w:r>
            <w:r w:rsidR="00A132EF" w:rsidRPr="001956DC">
              <w:t xml:space="preserve">consensus on </w:t>
            </w:r>
            <w:r w:rsidRPr="001956DC">
              <w:t>each criterion, documenting the co</w:t>
            </w:r>
            <w:r w:rsidR="008A2DD7" w:rsidRPr="001956DC">
              <w:t>llection</w:t>
            </w:r>
            <w:r w:rsidRPr="001956DC">
              <w:t xml:space="preserve"> of evidence the group agrees upon to justify their answers. In cases where </w:t>
            </w:r>
            <w:r w:rsidR="00B6059A" w:rsidRPr="001956DC">
              <w:t>consensus is not</w:t>
            </w:r>
            <w:r w:rsidRPr="001956DC">
              <w:t xml:space="preserve"> reached, work with the group to </w:t>
            </w:r>
            <w:r w:rsidR="00B6059A" w:rsidRPr="001956DC">
              <w:t xml:space="preserve">develop </w:t>
            </w:r>
            <w:r w:rsidR="00612D90" w:rsidRPr="001956DC">
              <w:t>action steps and</w:t>
            </w:r>
            <w:r w:rsidR="00B6059A" w:rsidRPr="001956DC">
              <w:t xml:space="preserve"> evidence sources that</w:t>
            </w:r>
            <w:r w:rsidR="00612D90" w:rsidRPr="001956DC">
              <w:t xml:space="preserve"> would </w:t>
            </w:r>
            <w:r w:rsidR="00B6059A" w:rsidRPr="001956DC">
              <w:t xml:space="preserve">be needed to reach consensus (e.g., </w:t>
            </w:r>
            <w:r w:rsidR="00D1108C" w:rsidRPr="001956DC">
              <w:t xml:space="preserve">consensus </w:t>
            </w:r>
            <w:r w:rsidR="00B6059A" w:rsidRPr="001956DC">
              <w:t>is contingent upon 90% of people in the district/school agreeing that change is needed and that they will actively support change via a continuous improvement process</w:t>
            </w:r>
            <w:r w:rsidR="00256739" w:rsidRPr="001956DC">
              <w:t>. An educator survey will be used to gather evidence of support</w:t>
            </w:r>
            <w:r w:rsidR="00B6059A" w:rsidRPr="001956DC">
              <w:t xml:space="preserve">). </w:t>
            </w:r>
            <w:r w:rsidR="00A132EF" w:rsidRPr="001956DC">
              <w:t xml:space="preserve">Consider using a Google Doc or </w:t>
            </w:r>
            <w:proofErr w:type="spellStart"/>
            <w:r w:rsidR="00A132EF" w:rsidRPr="001956DC">
              <w:t>Jamboard</w:t>
            </w:r>
            <w:proofErr w:type="spellEnd"/>
            <w:r w:rsidR="00A132EF" w:rsidRPr="001956DC">
              <w:t xml:space="preserve"> to organize evidence supporting whether the organization meets/does not meet each criterion. If the meeting is in</w:t>
            </w:r>
            <w:r w:rsidR="00D1108C" w:rsidRPr="001956DC">
              <w:t xml:space="preserve"> </w:t>
            </w:r>
            <w:r w:rsidR="00A132EF" w:rsidRPr="001956DC">
              <w:t xml:space="preserve">person, </w:t>
            </w:r>
            <w:r w:rsidR="006722C1" w:rsidRPr="001956DC">
              <w:t xml:space="preserve">the facilitator could also use </w:t>
            </w:r>
            <w:r w:rsidR="00FA661E" w:rsidRPr="001956DC">
              <w:t xml:space="preserve">flip chart paper, asking </w:t>
            </w:r>
            <w:r w:rsidR="00A132EF" w:rsidRPr="001956DC">
              <w:t>team members</w:t>
            </w:r>
            <w:r w:rsidR="00FA661E" w:rsidRPr="001956DC">
              <w:t xml:space="preserve"> to </w:t>
            </w:r>
            <w:r w:rsidR="00A132EF" w:rsidRPr="001956DC">
              <w:t>write</w:t>
            </w:r>
            <w:r w:rsidR="00FA661E" w:rsidRPr="001956DC">
              <w:t xml:space="preserve"> evidence supporting or refuting the organization’s readiness against each criteria.</w:t>
            </w:r>
          </w:p>
        </w:tc>
        <w:tc>
          <w:tcPr>
            <w:tcW w:w="2070" w:type="dxa"/>
            <w:tcBorders>
              <w:left w:val="single" w:sz="4" w:space="0" w:color="328612"/>
            </w:tcBorders>
            <w:shd w:val="clear" w:color="auto" w:fill="EAF4EF"/>
          </w:tcPr>
          <w:p w14:paraId="5A916B42" w14:textId="1D66AD51" w:rsidR="006F62F7" w:rsidRPr="001956DC" w:rsidRDefault="006F62F7" w:rsidP="001956DC">
            <w:pPr>
              <w:pStyle w:val="N1-1stBullet"/>
              <w:spacing w:after="0" w:line="240" w:lineRule="atLeast"/>
            </w:pPr>
            <w:r w:rsidRPr="001956DC">
              <w:t>PPT Presentation</w:t>
            </w:r>
          </w:p>
          <w:p w14:paraId="0713B959" w14:textId="59434A4E" w:rsidR="009E2B5F" w:rsidRPr="001956DC" w:rsidRDefault="009E2B5F" w:rsidP="001956DC">
            <w:pPr>
              <w:pStyle w:val="N1-1stBullet"/>
              <w:spacing w:after="0" w:line="240" w:lineRule="atLeast"/>
            </w:pPr>
            <w:r w:rsidRPr="001956DC">
              <w:t>Handout 1: Readiness Assessment (</w:t>
            </w:r>
            <w:proofErr w:type="spellStart"/>
            <w:r w:rsidRPr="001956DC">
              <w:t>Shakman</w:t>
            </w:r>
            <w:proofErr w:type="spellEnd"/>
            <w:r w:rsidRPr="001956DC">
              <w:t xml:space="preserve"> et al., 2020, p</w:t>
            </w:r>
            <w:r w:rsidR="006F745A" w:rsidRPr="001956DC">
              <w:t>p</w:t>
            </w:r>
            <w:r w:rsidRPr="001956DC">
              <w:t>. I-5)</w:t>
            </w:r>
          </w:p>
          <w:p w14:paraId="666A12E9" w14:textId="2D4BAF44" w:rsidR="001A7440" w:rsidRPr="001956DC" w:rsidRDefault="00BC7BFB" w:rsidP="001956DC">
            <w:pPr>
              <w:pStyle w:val="N1-1stBullet"/>
              <w:spacing w:after="0" w:line="240" w:lineRule="atLeast"/>
              <w:rPr>
                <w:rFonts w:cstheme="minorHAnsi"/>
              </w:rPr>
            </w:pPr>
            <w:r w:rsidRPr="001956DC">
              <w:t xml:space="preserve">Shared </w:t>
            </w:r>
            <w:r w:rsidR="001A757E" w:rsidRPr="001956DC">
              <w:t xml:space="preserve">Document </w:t>
            </w:r>
            <w:r w:rsidRPr="001956DC">
              <w:t>(e.g., Google Doc)</w:t>
            </w:r>
          </w:p>
        </w:tc>
      </w:tr>
      <w:tr w:rsidR="00766CBB" w:rsidRPr="001956DC" w14:paraId="7A50C11D" w14:textId="77777777" w:rsidTr="001956DC">
        <w:tc>
          <w:tcPr>
            <w:tcW w:w="889" w:type="dxa"/>
            <w:tcBorders>
              <w:right w:val="single" w:sz="4" w:space="0" w:color="328612"/>
            </w:tcBorders>
          </w:tcPr>
          <w:p w14:paraId="328C429E" w14:textId="3FCD8034" w:rsidR="00766CBB" w:rsidRPr="001956DC" w:rsidRDefault="00BC7BFB" w:rsidP="001956DC">
            <w:pPr>
              <w:spacing w:line="240" w:lineRule="atLeast"/>
              <w:rPr>
                <w:rFonts w:ascii="Cambria" w:hAnsi="Cambria" w:cs="Calibri"/>
                <w:b/>
                <w:bCs/>
                <w:sz w:val="20"/>
                <w:szCs w:val="20"/>
              </w:rPr>
            </w:pPr>
            <w:r w:rsidRPr="001956DC">
              <w:rPr>
                <w:rFonts w:ascii="Cambria" w:hAnsi="Cambria" w:cs="Calibri"/>
                <w:b/>
                <w:bCs/>
                <w:sz w:val="20"/>
                <w:szCs w:val="20"/>
              </w:rPr>
              <w:t>20 min.</w:t>
            </w:r>
          </w:p>
        </w:tc>
        <w:tc>
          <w:tcPr>
            <w:tcW w:w="1526" w:type="dxa"/>
            <w:tcBorders>
              <w:left w:val="single" w:sz="4" w:space="0" w:color="328612"/>
              <w:right w:val="single" w:sz="4" w:space="0" w:color="328612"/>
            </w:tcBorders>
          </w:tcPr>
          <w:p w14:paraId="49E46BCF" w14:textId="745757AF" w:rsidR="00766CBB" w:rsidRPr="001956DC" w:rsidRDefault="00BC7BFB" w:rsidP="001956DC">
            <w:pPr>
              <w:spacing w:line="240" w:lineRule="atLeast"/>
              <w:rPr>
                <w:rFonts w:ascii="Cambria" w:hAnsi="Cambria" w:cs="Calibri"/>
                <w:sz w:val="20"/>
                <w:szCs w:val="20"/>
              </w:rPr>
            </w:pPr>
            <w:r w:rsidRPr="001956DC">
              <w:rPr>
                <w:rFonts w:ascii="Cambria" w:hAnsi="Cambria" w:cs="Calibri"/>
                <w:sz w:val="20"/>
                <w:szCs w:val="20"/>
              </w:rPr>
              <w:t>Building Continuous Improvement Capacity</w:t>
            </w:r>
          </w:p>
        </w:tc>
        <w:tc>
          <w:tcPr>
            <w:tcW w:w="1659" w:type="dxa"/>
            <w:tcBorders>
              <w:left w:val="single" w:sz="4" w:space="0" w:color="328612"/>
              <w:right w:val="single" w:sz="4" w:space="0" w:color="328612"/>
            </w:tcBorders>
          </w:tcPr>
          <w:p w14:paraId="5B08B7D1" w14:textId="1056CF1B" w:rsidR="00766CBB" w:rsidRPr="001956DC" w:rsidRDefault="00766CBB" w:rsidP="001956DC">
            <w:pPr>
              <w:spacing w:line="240" w:lineRule="atLeast"/>
              <w:rPr>
                <w:rFonts w:ascii="Cambria" w:hAnsi="Cambria" w:cs="Calibri"/>
                <w:sz w:val="20"/>
                <w:szCs w:val="20"/>
              </w:rPr>
            </w:pPr>
            <w:r w:rsidRPr="001956DC">
              <w:rPr>
                <w:rFonts w:ascii="Cambria" w:hAnsi="Cambria" w:cs="Calibri"/>
                <w:sz w:val="20"/>
                <w:szCs w:val="20"/>
              </w:rPr>
              <w:t>Develop an Organizational Capacity-Building Plan</w:t>
            </w:r>
          </w:p>
        </w:tc>
        <w:tc>
          <w:tcPr>
            <w:tcW w:w="7806" w:type="dxa"/>
            <w:tcBorders>
              <w:left w:val="single" w:sz="4" w:space="0" w:color="328612"/>
              <w:right w:val="single" w:sz="4" w:space="0" w:color="328612"/>
            </w:tcBorders>
          </w:tcPr>
          <w:p w14:paraId="6D8C4B5A" w14:textId="4692C348" w:rsidR="002E773C" w:rsidRPr="001956DC" w:rsidRDefault="00766CBB" w:rsidP="001956DC">
            <w:pPr>
              <w:pStyle w:val="N1-1stBullet"/>
              <w:spacing w:after="0" w:line="240" w:lineRule="atLeast"/>
            </w:pPr>
            <w:r w:rsidRPr="001956DC">
              <w:t xml:space="preserve">Using the evidence criteria and action steps produced during the readiness activity (see above), </w:t>
            </w:r>
            <w:r w:rsidR="00BC7BFB" w:rsidRPr="001956DC">
              <w:t>devel</w:t>
            </w:r>
            <w:r w:rsidR="00D62A2B" w:rsidRPr="001956DC">
              <w:t xml:space="preserve">op a plan for </w:t>
            </w:r>
            <w:r w:rsidR="002E773C" w:rsidRPr="001956DC">
              <w:t xml:space="preserve">addressing any unmet readiness criteria. Pull up a new page in the shared document (e.g., Google Doc, </w:t>
            </w:r>
            <w:proofErr w:type="spellStart"/>
            <w:r w:rsidR="002E773C" w:rsidRPr="001956DC">
              <w:t>Jamboard</w:t>
            </w:r>
            <w:proofErr w:type="spellEnd"/>
            <w:r w:rsidR="002E773C" w:rsidRPr="001956DC">
              <w:t xml:space="preserve">). Ask a recorder to document the following information: </w:t>
            </w:r>
          </w:p>
          <w:p w14:paraId="6C018C37" w14:textId="59179467" w:rsidR="002E773C" w:rsidRPr="001956DC" w:rsidRDefault="002E773C" w:rsidP="001956DC">
            <w:pPr>
              <w:pStyle w:val="N2-2ndBullet"/>
              <w:spacing w:after="0" w:line="240" w:lineRule="atLeast"/>
            </w:pPr>
            <w:r w:rsidRPr="001956DC">
              <w:t xml:space="preserve">According to consensus, which criteria have we </w:t>
            </w:r>
            <w:r w:rsidRPr="001956DC">
              <w:rPr>
                <w:i/>
                <w:iCs/>
              </w:rPr>
              <w:t>not</w:t>
            </w:r>
            <w:r w:rsidRPr="001956DC">
              <w:t xml:space="preserve"> met?</w:t>
            </w:r>
          </w:p>
          <w:p w14:paraId="7D3BD05F" w14:textId="77777777" w:rsidR="00264A74" w:rsidRPr="001956DC" w:rsidRDefault="002E773C" w:rsidP="001956DC">
            <w:pPr>
              <w:pStyle w:val="N2-2ndBullet"/>
              <w:spacing w:after="0" w:line="240" w:lineRule="atLeast"/>
            </w:pPr>
            <w:r w:rsidRPr="001956DC">
              <w:t>For which criteria is evidence insufficient or currently unavailable?</w:t>
            </w:r>
          </w:p>
          <w:p w14:paraId="0B1BD06B" w14:textId="46D890E7" w:rsidR="00321081" w:rsidRPr="001956DC" w:rsidRDefault="00645919" w:rsidP="001956DC">
            <w:pPr>
              <w:pStyle w:val="N1-1stBullet"/>
              <w:spacing w:after="0" w:line="240" w:lineRule="atLeast"/>
            </w:pPr>
            <w:r w:rsidRPr="001956DC">
              <w:lastRenderedPageBreak/>
              <w:t xml:space="preserve">For each unmet criterion identified above, </w:t>
            </w:r>
            <w:r w:rsidR="005004BF" w:rsidRPr="001956DC">
              <w:t>use</w:t>
            </w:r>
            <w:r w:rsidRPr="001956DC">
              <w:t xml:space="preserve"> the following questions</w:t>
            </w:r>
            <w:r w:rsidR="005004BF" w:rsidRPr="001956DC">
              <w:t xml:space="preserve"> to develop and carry out a readiness action plan</w:t>
            </w:r>
            <w:r w:rsidRPr="001956DC">
              <w:t>:</w:t>
            </w:r>
          </w:p>
          <w:p w14:paraId="33D76360" w14:textId="77777777" w:rsidR="00321081" w:rsidRPr="001956DC" w:rsidRDefault="00321081" w:rsidP="001956DC">
            <w:pPr>
              <w:pStyle w:val="N2-2ndBullet"/>
              <w:spacing w:after="0" w:line="240" w:lineRule="atLeast"/>
            </w:pPr>
            <w:r w:rsidRPr="001956DC">
              <w:t xml:space="preserve">What action steps do we, as an organization, need to take to address this unmet criterion? What needs to happen for us to be confident that we are ready to implement continuous improvement? </w:t>
            </w:r>
          </w:p>
          <w:p w14:paraId="3D10AC50" w14:textId="77777777" w:rsidR="00321081" w:rsidRPr="001956DC" w:rsidRDefault="00D62A2B" w:rsidP="001956DC">
            <w:pPr>
              <w:pStyle w:val="N2-2ndBullet"/>
              <w:spacing w:after="0" w:line="240" w:lineRule="atLeast"/>
            </w:pPr>
            <w:r w:rsidRPr="001956DC">
              <w:t xml:space="preserve">Who </w:t>
            </w:r>
            <w:r w:rsidR="00645919" w:rsidRPr="001956DC">
              <w:t>is responsible for implementing the necessary action steps? What are the action steps</w:t>
            </w:r>
            <w:r w:rsidR="00321081" w:rsidRPr="001956DC">
              <w:t>?</w:t>
            </w:r>
          </w:p>
          <w:p w14:paraId="3FB35501" w14:textId="00B0E456" w:rsidR="00321081" w:rsidRPr="001956DC" w:rsidRDefault="00321081" w:rsidP="001956DC">
            <w:pPr>
              <w:pStyle w:val="N2-2ndBullet"/>
              <w:spacing w:after="0" w:line="240" w:lineRule="atLeast"/>
            </w:pPr>
            <w:r w:rsidRPr="001956DC">
              <w:t xml:space="preserve">By when </w:t>
            </w:r>
            <w:r w:rsidR="00645919" w:rsidRPr="001956DC">
              <w:t xml:space="preserve">will </w:t>
            </w:r>
            <w:r w:rsidRPr="001956DC">
              <w:t>these action steps</w:t>
            </w:r>
            <w:r w:rsidR="00645919" w:rsidRPr="001956DC">
              <w:t xml:space="preserve"> be </w:t>
            </w:r>
            <w:r w:rsidRPr="001956DC">
              <w:t>implemented and/or completed</w:t>
            </w:r>
            <w:r w:rsidR="00645919" w:rsidRPr="001956DC">
              <w:t>?</w:t>
            </w:r>
          </w:p>
          <w:p w14:paraId="3D103EFF" w14:textId="009F02C9" w:rsidR="005004BF" w:rsidRPr="001956DC" w:rsidRDefault="00645919" w:rsidP="001956DC">
            <w:pPr>
              <w:pStyle w:val="N2-2ndBullet"/>
              <w:spacing w:after="0" w:line="240" w:lineRule="atLeast"/>
            </w:pPr>
            <w:r w:rsidRPr="001956DC">
              <w:t xml:space="preserve">Who is responsible for collecting </w:t>
            </w:r>
            <w:r w:rsidR="0066001E" w:rsidRPr="001956DC">
              <w:t>and reporting the evidence</w:t>
            </w:r>
            <w:r w:rsidR="00D62A2B" w:rsidRPr="001956DC">
              <w:t xml:space="preserve"> </w:t>
            </w:r>
            <w:r w:rsidR="0066001E" w:rsidRPr="001956DC">
              <w:t xml:space="preserve">to determine when the criterion is met? What evidence source(s) will be collected </w:t>
            </w:r>
            <w:r w:rsidRPr="001956DC">
              <w:t xml:space="preserve">and </w:t>
            </w:r>
            <w:r w:rsidR="0066001E" w:rsidRPr="001956DC">
              <w:t>reported</w:t>
            </w:r>
            <w:r w:rsidR="001A757E" w:rsidRPr="001956DC">
              <w:t xml:space="preserve">? </w:t>
            </w:r>
            <w:r w:rsidR="0066001E" w:rsidRPr="001956DC">
              <w:t>What is the data collection and reporting</w:t>
            </w:r>
            <w:r w:rsidRPr="001956DC">
              <w:t xml:space="preserve"> timeframe</w:t>
            </w:r>
            <w:r w:rsidR="00D62A2B" w:rsidRPr="001956DC">
              <w:t>?</w:t>
            </w:r>
          </w:p>
          <w:p w14:paraId="7880C209" w14:textId="1F396315" w:rsidR="00645919" w:rsidRPr="001956DC" w:rsidRDefault="008A2DD7" w:rsidP="001956DC">
            <w:pPr>
              <w:pStyle w:val="N1-1stBullet"/>
              <w:keepLines/>
              <w:spacing w:after="0" w:line="240" w:lineRule="atLeast"/>
            </w:pPr>
            <w:r w:rsidRPr="001956DC">
              <w:t>Note: I</w:t>
            </w:r>
            <w:r w:rsidR="005004BF" w:rsidRPr="001956DC">
              <w:t>f significant capacity-building efforts are needed, consider assigning an organizational leader to lead the development and implementation of a readiness plan. Recruit a group of individuals and form a task force to support the plan’s development and execution</w:t>
            </w:r>
          </w:p>
        </w:tc>
        <w:tc>
          <w:tcPr>
            <w:tcW w:w="2070" w:type="dxa"/>
            <w:tcBorders>
              <w:left w:val="single" w:sz="4" w:space="0" w:color="328612"/>
            </w:tcBorders>
          </w:tcPr>
          <w:p w14:paraId="7EA0CFCC" w14:textId="2146DFDF" w:rsidR="00766CBB" w:rsidRPr="001956DC" w:rsidRDefault="002E773C" w:rsidP="001956DC">
            <w:pPr>
              <w:pStyle w:val="N1-1stBullet"/>
              <w:spacing w:after="0" w:line="240" w:lineRule="atLeast"/>
              <w:rPr>
                <w:rFonts w:cstheme="minorHAnsi"/>
              </w:rPr>
            </w:pPr>
            <w:r w:rsidRPr="001956DC">
              <w:lastRenderedPageBreak/>
              <w:t xml:space="preserve">Shared </w:t>
            </w:r>
            <w:r w:rsidR="001A757E" w:rsidRPr="001956DC">
              <w:t xml:space="preserve">Document </w:t>
            </w:r>
            <w:r w:rsidRPr="001956DC">
              <w:t>(e.g., Google Doc)</w:t>
            </w:r>
          </w:p>
        </w:tc>
      </w:tr>
      <w:tr w:rsidR="00BC7BFB" w:rsidRPr="001956DC" w14:paraId="35F5AE03" w14:textId="77777777" w:rsidTr="001956DC">
        <w:tc>
          <w:tcPr>
            <w:tcW w:w="889" w:type="dxa"/>
            <w:tcBorders>
              <w:right w:val="single" w:sz="4" w:space="0" w:color="328612"/>
            </w:tcBorders>
            <w:shd w:val="clear" w:color="auto" w:fill="EAF4EF"/>
          </w:tcPr>
          <w:p w14:paraId="0C0626DE" w14:textId="055D4754" w:rsidR="008D72FA" w:rsidRPr="001956DC" w:rsidRDefault="005004BF" w:rsidP="001956DC">
            <w:pPr>
              <w:spacing w:line="240" w:lineRule="atLeast"/>
              <w:rPr>
                <w:rFonts w:ascii="Cambria" w:hAnsi="Cambria" w:cs="Calibri"/>
                <w:b/>
                <w:bCs/>
                <w:sz w:val="20"/>
                <w:szCs w:val="20"/>
              </w:rPr>
            </w:pPr>
            <w:r w:rsidRPr="001956DC">
              <w:rPr>
                <w:rFonts w:ascii="Cambria" w:hAnsi="Cambria" w:cs="Calibri"/>
                <w:b/>
                <w:bCs/>
                <w:sz w:val="20"/>
                <w:szCs w:val="20"/>
              </w:rPr>
              <w:t xml:space="preserve">10 </w:t>
            </w:r>
            <w:r w:rsidR="008D72FA" w:rsidRPr="001956DC">
              <w:rPr>
                <w:rFonts w:ascii="Cambria" w:hAnsi="Cambria" w:cs="Calibri"/>
                <w:b/>
                <w:bCs/>
                <w:sz w:val="20"/>
                <w:szCs w:val="20"/>
              </w:rPr>
              <w:t>min.</w:t>
            </w:r>
          </w:p>
        </w:tc>
        <w:tc>
          <w:tcPr>
            <w:tcW w:w="1526" w:type="dxa"/>
            <w:tcBorders>
              <w:left w:val="single" w:sz="4" w:space="0" w:color="328612"/>
              <w:right w:val="single" w:sz="4" w:space="0" w:color="328612"/>
            </w:tcBorders>
            <w:shd w:val="clear" w:color="auto" w:fill="EAF4EF"/>
          </w:tcPr>
          <w:p w14:paraId="630DCA05" w14:textId="7516E8CF" w:rsidR="008D72FA" w:rsidRPr="001956DC" w:rsidRDefault="00546AE9" w:rsidP="001956DC">
            <w:pPr>
              <w:spacing w:line="240" w:lineRule="atLeast"/>
              <w:rPr>
                <w:rFonts w:ascii="Cambria" w:hAnsi="Cambria" w:cs="Calibri"/>
                <w:sz w:val="20"/>
                <w:szCs w:val="20"/>
              </w:rPr>
            </w:pPr>
            <w:r w:rsidRPr="001956DC">
              <w:rPr>
                <w:rFonts w:ascii="Cambria" w:hAnsi="Cambria" w:cs="Calibri"/>
                <w:sz w:val="20"/>
                <w:szCs w:val="20"/>
              </w:rPr>
              <w:t>Wrap</w:t>
            </w:r>
            <w:r w:rsidR="00D12914" w:rsidRPr="001956DC">
              <w:rPr>
                <w:rFonts w:ascii="Cambria" w:hAnsi="Cambria" w:cs="Calibri"/>
                <w:sz w:val="20"/>
                <w:szCs w:val="20"/>
              </w:rPr>
              <w:t>-</w:t>
            </w:r>
            <w:r w:rsidRPr="001956DC">
              <w:rPr>
                <w:rFonts w:ascii="Cambria" w:hAnsi="Cambria" w:cs="Calibri"/>
                <w:sz w:val="20"/>
                <w:szCs w:val="20"/>
              </w:rPr>
              <w:t>Up and Next Steps</w:t>
            </w:r>
          </w:p>
        </w:tc>
        <w:tc>
          <w:tcPr>
            <w:tcW w:w="1659" w:type="dxa"/>
            <w:tcBorders>
              <w:left w:val="single" w:sz="4" w:space="0" w:color="328612"/>
              <w:right w:val="single" w:sz="4" w:space="0" w:color="328612"/>
            </w:tcBorders>
            <w:shd w:val="clear" w:color="auto" w:fill="EAF4EF"/>
          </w:tcPr>
          <w:p w14:paraId="230C0493" w14:textId="23F2C1CA" w:rsidR="008D72FA" w:rsidRPr="001956DC" w:rsidRDefault="008D72FA" w:rsidP="001956DC">
            <w:pPr>
              <w:spacing w:line="240" w:lineRule="atLeast"/>
              <w:rPr>
                <w:rFonts w:ascii="Cambria" w:hAnsi="Cambria" w:cs="Calibri"/>
                <w:sz w:val="20"/>
                <w:szCs w:val="20"/>
              </w:rPr>
            </w:pPr>
          </w:p>
        </w:tc>
        <w:tc>
          <w:tcPr>
            <w:tcW w:w="7806" w:type="dxa"/>
            <w:tcBorders>
              <w:left w:val="single" w:sz="4" w:space="0" w:color="328612"/>
              <w:right w:val="single" w:sz="4" w:space="0" w:color="328612"/>
            </w:tcBorders>
            <w:shd w:val="clear" w:color="auto" w:fill="EAF4EF"/>
          </w:tcPr>
          <w:p w14:paraId="3B8C387A" w14:textId="67530448" w:rsidR="005004BF" w:rsidRPr="001956DC" w:rsidRDefault="005004BF" w:rsidP="001956DC">
            <w:pPr>
              <w:pStyle w:val="N1-1stBullet"/>
              <w:spacing w:after="0" w:line="240" w:lineRule="atLeast"/>
            </w:pPr>
            <w:r w:rsidRPr="001956DC">
              <w:t>Review roles, responsibilities, and next steps for completing readiness action steps</w:t>
            </w:r>
            <w:r w:rsidR="00D972EE" w:rsidRPr="001956DC">
              <w:t>.</w:t>
            </w:r>
          </w:p>
          <w:p w14:paraId="1F183E51" w14:textId="22DB03A3" w:rsidR="00E80ABB" w:rsidRPr="001956DC" w:rsidRDefault="005004BF" w:rsidP="001956DC">
            <w:pPr>
              <w:pStyle w:val="N1-1stBullet"/>
              <w:spacing w:after="0" w:line="240" w:lineRule="atLeast"/>
            </w:pPr>
            <w:r w:rsidRPr="001956DC">
              <w:t>Schedule the next meeting</w:t>
            </w:r>
            <w:r w:rsidR="00D972EE" w:rsidRPr="001956DC">
              <w:t>.</w:t>
            </w:r>
          </w:p>
        </w:tc>
        <w:tc>
          <w:tcPr>
            <w:tcW w:w="2070" w:type="dxa"/>
            <w:tcBorders>
              <w:left w:val="single" w:sz="4" w:space="0" w:color="328612"/>
            </w:tcBorders>
            <w:shd w:val="clear" w:color="auto" w:fill="EAF4EF"/>
          </w:tcPr>
          <w:p w14:paraId="001B64C6" w14:textId="6A7FEB55" w:rsidR="008D72FA" w:rsidRPr="001956DC" w:rsidRDefault="008D72FA" w:rsidP="001956DC">
            <w:pPr>
              <w:spacing w:line="240" w:lineRule="atLeast"/>
              <w:rPr>
                <w:rFonts w:ascii="Cambria" w:hAnsi="Cambria" w:cstheme="minorHAnsi"/>
                <w:sz w:val="20"/>
                <w:szCs w:val="20"/>
              </w:rPr>
            </w:pPr>
          </w:p>
        </w:tc>
      </w:tr>
    </w:tbl>
    <w:p w14:paraId="5538644E" w14:textId="0E6D164D" w:rsidR="00A52396" w:rsidRPr="001956DC" w:rsidRDefault="00966925" w:rsidP="001956DC">
      <w:pPr>
        <w:pStyle w:val="TF-TblFN"/>
        <w:spacing w:after="0" w:line="240" w:lineRule="atLeast"/>
        <w:rPr>
          <w:rFonts w:ascii="Cambria" w:hAnsi="Cambria"/>
        </w:rPr>
      </w:pPr>
      <w:r w:rsidRPr="001956DC">
        <w:rPr>
          <w:rFonts w:ascii="Cambria" w:hAnsi="Cambria"/>
        </w:rPr>
        <w:t xml:space="preserve">*Times are estimates only. Time may fluctuate </w:t>
      </w:r>
      <w:r w:rsidR="00E028FD" w:rsidRPr="001956DC">
        <w:rPr>
          <w:rFonts w:ascii="Cambria" w:hAnsi="Cambria"/>
        </w:rPr>
        <w:t>based on the</w:t>
      </w:r>
      <w:r w:rsidRPr="001956DC">
        <w:rPr>
          <w:rFonts w:ascii="Cambria" w:hAnsi="Cambria"/>
        </w:rPr>
        <w:t xml:space="preserve"> </w:t>
      </w:r>
      <w:r w:rsidR="00E028FD" w:rsidRPr="001956DC">
        <w:rPr>
          <w:rFonts w:ascii="Cambria" w:hAnsi="Cambria"/>
        </w:rPr>
        <w:t>nature of the discussion, group size,</w:t>
      </w:r>
      <w:r w:rsidRPr="001956DC">
        <w:rPr>
          <w:rFonts w:ascii="Cambria" w:hAnsi="Cambria"/>
        </w:rPr>
        <w:t xml:space="preserve"> and meeting format (e.g., face-to-face vs. virtual)</w:t>
      </w:r>
      <w:r w:rsidR="007808AE" w:rsidRPr="001956DC">
        <w:rPr>
          <w:rFonts w:ascii="Cambria" w:hAnsi="Cambria"/>
        </w:rPr>
        <w:t>.</w:t>
      </w:r>
    </w:p>
    <w:p w14:paraId="17718D5B" w14:textId="6DCD18F2" w:rsidR="00A24082" w:rsidRPr="00A24082" w:rsidRDefault="00A24082" w:rsidP="006E103F">
      <w:pPr>
        <w:pStyle w:val="Heading2"/>
        <w:spacing w:before="240"/>
      </w:pPr>
      <w:r w:rsidRPr="00A24082">
        <w:t>R</w:t>
      </w:r>
      <w:r>
        <w:t>esources for Building an Improvement Culture</w:t>
      </w:r>
    </w:p>
    <w:p w14:paraId="6AE75DCE" w14:textId="12A00CCB" w:rsidR="00A24082" w:rsidRPr="00A24082" w:rsidRDefault="00A24082" w:rsidP="005C0ED0">
      <w:pPr>
        <w:pStyle w:val="SL-FlLftSgl"/>
        <w:ind w:left="360" w:hanging="360"/>
        <w:rPr>
          <w:rFonts w:eastAsia="Cambria"/>
        </w:rPr>
      </w:pPr>
      <w:proofErr w:type="spellStart"/>
      <w:r w:rsidRPr="00A24082">
        <w:rPr>
          <w:rFonts w:eastAsia="Cambria"/>
        </w:rPr>
        <w:t>Shakman</w:t>
      </w:r>
      <w:proofErr w:type="spellEnd"/>
      <w:r w:rsidRPr="00A24082">
        <w:rPr>
          <w:rFonts w:eastAsia="Cambria"/>
        </w:rPr>
        <w:t xml:space="preserve">, K., </w:t>
      </w:r>
      <w:proofErr w:type="spellStart"/>
      <w:r w:rsidRPr="00A24082">
        <w:rPr>
          <w:rFonts w:eastAsia="Cambria"/>
        </w:rPr>
        <w:t>Wogan</w:t>
      </w:r>
      <w:proofErr w:type="spellEnd"/>
      <w:r w:rsidRPr="00A24082">
        <w:rPr>
          <w:rFonts w:eastAsia="Cambria"/>
        </w:rPr>
        <w:t xml:space="preserve">, D., Rodriguez, S., Boyce, J., and Shaver, D. (2020). </w:t>
      </w:r>
      <w:r w:rsidRPr="00A24082">
        <w:rPr>
          <w:rFonts w:eastAsia="Cambria"/>
          <w:i/>
          <w:iCs/>
        </w:rPr>
        <w:t>Continuous improvement in education: A toolkit for schools and districts</w:t>
      </w:r>
      <w:r w:rsidRPr="00A24082">
        <w:rPr>
          <w:rFonts w:eastAsia="Cambria"/>
        </w:rPr>
        <w:t xml:space="preserve"> (REL 2021-014). Washington, DC: U.S. Department of Education, Institute of Education Sciences, National Center for Education Evaluation and Regional Assistance, Regional Educational Laboratory Northeast and Islands.</w:t>
      </w:r>
      <w:r w:rsidRPr="00A24082">
        <w:rPr>
          <w:rFonts w:ascii="Calibri" w:hAnsi="Calibri" w:cs="Calibri"/>
        </w:rPr>
        <w:t xml:space="preserve"> Available at: </w:t>
      </w:r>
      <w:hyperlink r:id="rId11" w:history="1">
        <w:r w:rsidRPr="00A24082">
          <w:rPr>
            <w:rStyle w:val="Hyperlink"/>
            <w:rFonts w:ascii="Calibri" w:hAnsi="Calibri" w:cs="Calibri"/>
          </w:rPr>
          <w:t>https://ies.ed.gov/ncee/edlabs/regions/northeast/pdf/REL_2021014.pdf</w:t>
        </w:r>
      </w:hyperlink>
    </w:p>
    <w:sectPr w:rsidR="00A24082" w:rsidRPr="00A24082" w:rsidSect="006E103F">
      <w:headerReference w:type="default" r:id="rId12"/>
      <w:footerReference w:type="default" r:id="rId13"/>
      <w:headerReference w:type="first" r:id="rId14"/>
      <w:footerReference w:type="first" r:id="rId15"/>
      <w:pgSz w:w="15840" w:h="12240" w:orient="landscape" w:code="1"/>
      <w:pgMar w:top="720" w:right="792" w:bottom="792" w:left="1080" w:header="36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B093F" w14:textId="77777777" w:rsidR="002F1236" w:rsidRDefault="002F1236" w:rsidP="003109D7">
      <w:r>
        <w:separator/>
      </w:r>
    </w:p>
  </w:endnote>
  <w:endnote w:type="continuationSeparator" w:id="0">
    <w:p w14:paraId="22236725" w14:textId="77777777" w:rsidR="002F1236" w:rsidRDefault="002F1236" w:rsidP="00310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ple Symbol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55465" w14:textId="235D9A2D" w:rsidR="004F7620" w:rsidRPr="004F7620" w:rsidRDefault="004F7620" w:rsidP="005C0ED0">
    <w:pPr>
      <w:tabs>
        <w:tab w:val="right" w:pos="9720"/>
      </w:tabs>
      <w:spacing w:line="240" w:lineRule="atLeast"/>
      <w:jc w:val="right"/>
      <w:rPr>
        <w:rFonts w:ascii="Calibri" w:eastAsia="Times New Roman" w:hAnsi="Calibri" w:cs="Calibri"/>
        <w:color w:val="356DA2"/>
        <w:sz w:val="20"/>
        <w:szCs w:val="20"/>
      </w:rPr>
    </w:pPr>
    <w:r w:rsidRPr="004F7620">
      <w:rPr>
        <w:rFonts w:ascii="Calibri" w:eastAsia="Times New Roman" w:hAnsi="Calibri" w:cs="Calibri"/>
        <w:noProof/>
        <w:color w:val="356DA2"/>
        <w:sz w:val="20"/>
        <w:szCs w:val="20"/>
      </w:rPr>
      <w:drawing>
        <wp:anchor distT="0" distB="0" distL="114300" distR="114300" simplePos="0" relativeHeight="251661312" behindDoc="0" locked="0" layoutInCell="1" allowOverlap="1" wp14:anchorId="18635E5E" wp14:editId="1E0400E6">
          <wp:simplePos x="0" y="0"/>
          <wp:positionH relativeFrom="column">
            <wp:posOffset>8913495</wp:posOffset>
          </wp:positionH>
          <wp:positionV relativeFrom="paragraph">
            <wp:posOffset>-73660</wp:posOffset>
          </wp:positionV>
          <wp:extent cx="100330" cy="310515"/>
          <wp:effectExtent l="0" t="0" r="0" b="0"/>
          <wp:wrapThrough wrapText="bothSides">
            <wp:wrapPolygon edited="0">
              <wp:start x="0" y="0"/>
              <wp:lineTo x="0" y="19877"/>
              <wp:lineTo x="12304" y="19877"/>
              <wp:lineTo x="16405" y="13252"/>
              <wp:lineTo x="16405" y="7951"/>
              <wp:lineTo x="1230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_triangle_footer-0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330" cy="310515"/>
                  </a:xfrm>
                  <a:prstGeom prst="rect">
                    <a:avLst/>
                  </a:prstGeom>
                </pic:spPr>
              </pic:pic>
            </a:graphicData>
          </a:graphic>
          <wp14:sizeRelH relativeFrom="page">
            <wp14:pctWidth>0</wp14:pctWidth>
          </wp14:sizeRelH>
          <wp14:sizeRelV relativeFrom="page">
            <wp14:pctHeight>0</wp14:pctHeight>
          </wp14:sizeRelV>
        </wp:anchor>
      </w:drawing>
    </w:r>
    <w:r w:rsidRPr="004F7620">
      <w:rPr>
        <w:rFonts w:ascii="Calibri" w:eastAsia="Times New Roman" w:hAnsi="Calibri" w:cs="Calibri"/>
        <w:b/>
        <w:color w:val="356DA2"/>
        <w:sz w:val="20"/>
        <w:szCs w:val="20"/>
      </w:rPr>
      <w:tab/>
    </w:r>
    <w:r w:rsidRPr="004F7620">
      <w:rPr>
        <w:rFonts w:ascii="Calibri" w:eastAsia="Times New Roman" w:hAnsi="Calibri" w:cs="Calibri"/>
        <w:color w:val="356DA2"/>
        <w:sz w:val="20"/>
        <w:szCs w:val="20"/>
      </w:rPr>
      <w:fldChar w:fldCharType="begin"/>
    </w:r>
    <w:r w:rsidRPr="004F7620">
      <w:rPr>
        <w:rFonts w:ascii="Calibri" w:eastAsia="Times New Roman" w:hAnsi="Calibri" w:cs="Calibri"/>
        <w:color w:val="356DA2"/>
        <w:sz w:val="20"/>
        <w:szCs w:val="20"/>
      </w:rPr>
      <w:instrText xml:space="preserve"> PAGE   \* MERGEFORMAT </w:instrText>
    </w:r>
    <w:r w:rsidRPr="004F7620">
      <w:rPr>
        <w:rFonts w:ascii="Calibri" w:eastAsia="Times New Roman" w:hAnsi="Calibri" w:cs="Calibri"/>
        <w:color w:val="356DA2"/>
        <w:sz w:val="20"/>
        <w:szCs w:val="20"/>
      </w:rPr>
      <w:fldChar w:fldCharType="separate"/>
    </w:r>
    <w:r w:rsidR="009A0BD9">
      <w:rPr>
        <w:rFonts w:ascii="Calibri" w:eastAsia="Times New Roman" w:hAnsi="Calibri" w:cs="Calibri"/>
        <w:noProof/>
        <w:color w:val="356DA2"/>
        <w:sz w:val="20"/>
        <w:szCs w:val="20"/>
      </w:rPr>
      <w:t>3</w:t>
    </w:r>
    <w:r w:rsidRPr="004F7620">
      <w:rPr>
        <w:rFonts w:ascii="Calibri" w:eastAsia="Times New Roman" w:hAnsi="Calibri" w:cs="Calibri"/>
        <w:noProof/>
        <w:color w:val="356DA2"/>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3E0F1" w14:textId="2221265A" w:rsidR="004F7620" w:rsidRPr="004F7620" w:rsidRDefault="004F7620" w:rsidP="00966925">
    <w:pPr>
      <w:tabs>
        <w:tab w:val="right" w:pos="9720"/>
      </w:tabs>
      <w:spacing w:line="240" w:lineRule="atLeast"/>
      <w:ind w:left="1440"/>
      <w:jc w:val="right"/>
      <w:rPr>
        <w:rFonts w:ascii="Calibri" w:eastAsia="Times New Roman" w:hAnsi="Calibri" w:cs="Calibri"/>
        <w:color w:val="356DA2"/>
        <w:sz w:val="20"/>
        <w:szCs w:val="20"/>
      </w:rPr>
    </w:pPr>
    <w:r w:rsidRPr="004F7620">
      <w:rPr>
        <w:rFonts w:ascii="Calibri" w:eastAsia="Times New Roman" w:hAnsi="Calibri" w:cs="Calibri"/>
        <w:noProof/>
        <w:color w:val="356DA2"/>
        <w:sz w:val="20"/>
        <w:szCs w:val="20"/>
      </w:rPr>
      <w:drawing>
        <wp:anchor distT="0" distB="0" distL="114300" distR="114300" simplePos="0" relativeHeight="251659264" behindDoc="0" locked="0" layoutInCell="1" allowOverlap="1" wp14:anchorId="7EB970F0" wp14:editId="70B70FA8">
          <wp:simplePos x="0" y="0"/>
          <wp:positionH relativeFrom="column">
            <wp:posOffset>8898255</wp:posOffset>
          </wp:positionH>
          <wp:positionV relativeFrom="paragraph">
            <wp:posOffset>-92710</wp:posOffset>
          </wp:positionV>
          <wp:extent cx="100330" cy="310515"/>
          <wp:effectExtent l="0" t="0" r="0" b="0"/>
          <wp:wrapThrough wrapText="bothSides">
            <wp:wrapPolygon edited="0">
              <wp:start x="0" y="0"/>
              <wp:lineTo x="0" y="19877"/>
              <wp:lineTo x="12304" y="19877"/>
              <wp:lineTo x="16405" y="13252"/>
              <wp:lineTo x="16405" y="7951"/>
              <wp:lineTo x="1230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_triangle_footer-0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330" cy="310515"/>
                  </a:xfrm>
                  <a:prstGeom prst="rect">
                    <a:avLst/>
                  </a:prstGeom>
                </pic:spPr>
              </pic:pic>
            </a:graphicData>
          </a:graphic>
          <wp14:sizeRelH relativeFrom="page">
            <wp14:pctWidth>0</wp14:pctWidth>
          </wp14:sizeRelH>
          <wp14:sizeRelV relativeFrom="page">
            <wp14:pctHeight>0</wp14:pctHeight>
          </wp14:sizeRelV>
        </wp:anchor>
      </w:drawing>
    </w:r>
    <w:r w:rsidRPr="004F7620">
      <w:rPr>
        <w:rFonts w:ascii="Calibri" w:eastAsia="Times New Roman" w:hAnsi="Calibri" w:cs="Calibri"/>
        <w:color w:val="356DA2"/>
        <w:sz w:val="20"/>
        <w:szCs w:val="20"/>
      </w:rPr>
      <w:fldChar w:fldCharType="begin"/>
    </w:r>
    <w:r w:rsidRPr="004F7620">
      <w:rPr>
        <w:rFonts w:ascii="Calibri" w:eastAsia="Times New Roman" w:hAnsi="Calibri" w:cs="Calibri"/>
        <w:color w:val="356DA2"/>
        <w:sz w:val="20"/>
        <w:szCs w:val="20"/>
      </w:rPr>
      <w:instrText xml:space="preserve"> PAGE   \* MERGEFORMAT </w:instrText>
    </w:r>
    <w:r w:rsidRPr="004F7620">
      <w:rPr>
        <w:rFonts w:ascii="Calibri" w:eastAsia="Times New Roman" w:hAnsi="Calibri" w:cs="Calibri"/>
        <w:color w:val="356DA2"/>
        <w:sz w:val="20"/>
        <w:szCs w:val="20"/>
      </w:rPr>
      <w:fldChar w:fldCharType="separate"/>
    </w:r>
    <w:r w:rsidR="009A0BD9">
      <w:rPr>
        <w:rFonts w:ascii="Calibri" w:eastAsia="Times New Roman" w:hAnsi="Calibri" w:cs="Calibri"/>
        <w:noProof/>
        <w:color w:val="356DA2"/>
        <w:sz w:val="20"/>
        <w:szCs w:val="20"/>
      </w:rPr>
      <w:t>1</w:t>
    </w:r>
    <w:r w:rsidRPr="004F7620">
      <w:rPr>
        <w:rFonts w:ascii="Calibri" w:eastAsia="Times New Roman" w:hAnsi="Calibri" w:cs="Calibri"/>
        <w:noProof/>
        <w:color w:val="356DA2"/>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587EE" w14:textId="77777777" w:rsidR="002F1236" w:rsidRDefault="002F1236" w:rsidP="003109D7">
      <w:r>
        <w:separator/>
      </w:r>
    </w:p>
  </w:footnote>
  <w:footnote w:type="continuationSeparator" w:id="0">
    <w:p w14:paraId="75BA6779" w14:textId="77777777" w:rsidR="002F1236" w:rsidRDefault="002F1236" w:rsidP="00310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94C59" w14:textId="616B8D75" w:rsidR="004F7620" w:rsidRPr="004F7620" w:rsidRDefault="00D1061F" w:rsidP="006E103F">
    <w:pPr>
      <w:pBdr>
        <w:bottom w:val="single" w:sz="4" w:space="1" w:color="328612"/>
      </w:pBdr>
      <w:spacing w:after="240" w:line="240" w:lineRule="atLeast"/>
      <w:rPr>
        <w:rFonts w:ascii="Calibri" w:eastAsia="Times New Roman" w:hAnsi="Calibri" w:cs="Calibri"/>
        <w:color w:val="356DA2"/>
        <w:sz w:val="22"/>
        <w:szCs w:val="22"/>
      </w:rPr>
    </w:pPr>
    <w:r>
      <w:rPr>
        <w:rFonts w:ascii="Calibri" w:eastAsia="Times New Roman" w:hAnsi="Calibri" w:cs="Calibri"/>
        <w:color w:val="356DA2"/>
        <w:sz w:val="22"/>
        <w:szCs w:val="22"/>
      </w:rPr>
      <w:t>Building an Improvement Culture</w:t>
    </w:r>
    <w:r w:rsidR="00B65E4E">
      <w:rPr>
        <w:rFonts w:ascii="Calibri" w:eastAsia="Times New Roman" w:hAnsi="Calibri" w:cs="Calibri"/>
        <w:color w:val="356DA2"/>
        <w:sz w:val="22"/>
        <w:szCs w:val="22"/>
      </w:rPr>
      <w:t xml:space="preserve">: </w:t>
    </w:r>
    <w:r w:rsidR="00B2524C">
      <w:rPr>
        <w:rFonts w:ascii="Calibri" w:eastAsia="Times New Roman" w:hAnsi="Calibri" w:cs="Calibri"/>
        <w:color w:val="356DA2"/>
        <w:sz w:val="22"/>
        <w:szCs w:val="22"/>
      </w:rPr>
      <w:t>Facilitator Guide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C0021" w14:textId="4BA2B70A" w:rsidR="004F7620" w:rsidRDefault="00FD7238" w:rsidP="00966925">
    <w:pPr>
      <w:tabs>
        <w:tab w:val="center" w:pos="4680"/>
        <w:tab w:val="right" w:pos="9360"/>
      </w:tabs>
      <w:spacing w:after="480"/>
      <w:ind w:left="-360"/>
      <w:jc w:val="center"/>
      <w:rPr>
        <w:rFonts w:ascii="Calibri" w:eastAsia="Calibri" w:hAnsi="Calibri" w:cs="Times New Roman"/>
        <w:b/>
        <w:color w:val="F99A1B"/>
      </w:rPr>
    </w:pPr>
    <w:r>
      <w:rPr>
        <w:rFonts w:ascii="Calibri" w:eastAsia="Calibri" w:hAnsi="Calibri" w:cs="Times New Roman"/>
        <w:b/>
        <w:noProof/>
        <w:color w:val="F99A1B"/>
      </w:rPr>
      <w:drawing>
        <wp:inline distT="0" distB="0" distL="0" distR="0" wp14:anchorId="10B97A04" wp14:editId="6C54B156">
          <wp:extent cx="8518636" cy="121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7375" cy="124191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3343"/>
    <w:multiLevelType w:val="hybridMultilevel"/>
    <w:tmpl w:val="B0E6DD5E"/>
    <w:lvl w:ilvl="0" w:tplc="04090001">
      <w:start w:val="1"/>
      <w:numFmt w:val="bullet"/>
      <w:lvlText w:val=""/>
      <w:lvlJc w:val="left"/>
      <w:pPr>
        <w:tabs>
          <w:tab w:val="num" w:pos="720"/>
        </w:tabs>
        <w:ind w:left="720" w:hanging="360"/>
      </w:pPr>
      <w:rPr>
        <w:rFonts w:ascii="Symbol" w:hAnsi="Symbol" w:hint="default"/>
      </w:rPr>
    </w:lvl>
    <w:lvl w:ilvl="1" w:tplc="B40A7CC2" w:tentative="1">
      <w:start w:val="1"/>
      <w:numFmt w:val="bullet"/>
      <w:lvlText w:val="≫"/>
      <w:lvlJc w:val="left"/>
      <w:pPr>
        <w:tabs>
          <w:tab w:val="num" w:pos="1440"/>
        </w:tabs>
        <w:ind w:left="1440" w:hanging="360"/>
      </w:pPr>
      <w:rPr>
        <w:rFonts w:ascii="Apple Symbols" w:hAnsi="Apple Symbols" w:hint="default"/>
      </w:rPr>
    </w:lvl>
    <w:lvl w:ilvl="2" w:tplc="C18A3E4E" w:tentative="1">
      <w:start w:val="1"/>
      <w:numFmt w:val="bullet"/>
      <w:lvlText w:val="≫"/>
      <w:lvlJc w:val="left"/>
      <w:pPr>
        <w:tabs>
          <w:tab w:val="num" w:pos="2160"/>
        </w:tabs>
        <w:ind w:left="2160" w:hanging="360"/>
      </w:pPr>
      <w:rPr>
        <w:rFonts w:ascii="Apple Symbols" w:hAnsi="Apple Symbols" w:hint="default"/>
      </w:rPr>
    </w:lvl>
    <w:lvl w:ilvl="3" w:tplc="95461E78" w:tentative="1">
      <w:start w:val="1"/>
      <w:numFmt w:val="bullet"/>
      <w:lvlText w:val="≫"/>
      <w:lvlJc w:val="left"/>
      <w:pPr>
        <w:tabs>
          <w:tab w:val="num" w:pos="2880"/>
        </w:tabs>
        <w:ind w:left="2880" w:hanging="360"/>
      </w:pPr>
      <w:rPr>
        <w:rFonts w:ascii="Apple Symbols" w:hAnsi="Apple Symbols" w:hint="default"/>
      </w:rPr>
    </w:lvl>
    <w:lvl w:ilvl="4" w:tplc="4B404688" w:tentative="1">
      <w:start w:val="1"/>
      <w:numFmt w:val="bullet"/>
      <w:lvlText w:val="≫"/>
      <w:lvlJc w:val="left"/>
      <w:pPr>
        <w:tabs>
          <w:tab w:val="num" w:pos="3600"/>
        </w:tabs>
        <w:ind w:left="3600" w:hanging="360"/>
      </w:pPr>
      <w:rPr>
        <w:rFonts w:ascii="Apple Symbols" w:hAnsi="Apple Symbols" w:hint="default"/>
      </w:rPr>
    </w:lvl>
    <w:lvl w:ilvl="5" w:tplc="3C0C09D4" w:tentative="1">
      <w:start w:val="1"/>
      <w:numFmt w:val="bullet"/>
      <w:lvlText w:val="≫"/>
      <w:lvlJc w:val="left"/>
      <w:pPr>
        <w:tabs>
          <w:tab w:val="num" w:pos="4320"/>
        </w:tabs>
        <w:ind w:left="4320" w:hanging="360"/>
      </w:pPr>
      <w:rPr>
        <w:rFonts w:ascii="Apple Symbols" w:hAnsi="Apple Symbols" w:hint="default"/>
      </w:rPr>
    </w:lvl>
    <w:lvl w:ilvl="6" w:tplc="48185468" w:tentative="1">
      <w:start w:val="1"/>
      <w:numFmt w:val="bullet"/>
      <w:lvlText w:val="≫"/>
      <w:lvlJc w:val="left"/>
      <w:pPr>
        <w:tabs>
          <w:tab w:val="num" w:pos="5040"/>
        </w:tabs>
        <w:ind w:left="5040" w:hanging="360"/>
      </w:pPr>
      <w:rPr>
        <w:rFonts w:ascii="Apple Symbols" w:hAnsi="Apple Symbols" w:hint="default"/>
      </w:rPr>
    </w:lvl>
    <w:lvl w:ilvl="7" w:tplc="9DD8136A" w:tentative="1">
      <w:start w:val="1"/>
      <w:numFmt w:val="bullet"/>
      <w:lvlText w:val="≫"/>
      <w:lvlJc w:val="left"/>
      <w:pPr>
        <w:tabs>
          <w:tab w:val="num" w:pos="5760"/>
        </w:tabs>
        <w:ind w:left="5760" w:hanging="360"/>
      </w:pPr>
      <w:rPr>
        <w:rFonts w:ascii="Apple Symbols" w:hAnsi="Apple Symbols" w:hint="default"/>
      </w:rPr>
    </w:lvl>
    <w:lvl w:ilvl="8" w:tplc="398041AA" w:tentative="1">
      <w:start w:val="1"/>
      <w:numFmt w:val="bullet"/>
      <w:lvlText w:val="≫"/>
      <w:lvlJc w:val="left"/>
      <w:pPr>
        <w:tabs>
          <w:tab w:val="num" w:pos="6480"/>
        </w:tabs>
        <w:ind w:left="6480" w:hanging="360"/>
      </w:pPr>
      <w:rPr>
        <w:rFonts w:ascii="Apple Symbols" w:hAnsi="Apple Symbols" w:hint="default"/>
      </w:rPr>
    </w:lvl>
  </w:abstractNum>
  <w:abstractNum w:abstractNumId="1" w15:restartNumberingAfterBreak="0">
    <w:nsid w:val="0ED002F3"/>
    <w:multiLevelType w:val="hybridMultilevel"/>
    <w:tmpl w:val="E59AFDB0"/>
    <w:lvl w:ilvl="0" w:tplc="F82C795C">
      <w:start w:val="1"/>
      <w:numFmt w:val="bullet"/>
      <w:lvlText w:val="»"/>
      <w:lvlJc w:val="left"/>
      <w:pPr>
        <w:tabs>
          <w:tab w:val="num" w:pos="1152"/>
        </w:tabs>
        <w:ind w:left="1152" w:hanging="576"/>
      </w:pPr>
      <w:rPr>
        <w:rFonts w:ascii="Calibri" w:hAnsi="Calibri" w:hint="default"/>
        <w:color w:val="328612"/>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402B37"/>
    <w:multiLevelType w:val="hybridMultilevel"/>
    <w:tmpl w:val="28C6A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80443"/>
    <w:multiLevelType w:val="hybridMultilevel"/>
    <w:tmpl w:val="286C0F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E24938"/>
    <w:multiLevelType w:val="hybridMultilevel"/>
    <w:tmpl w:val="E6A25416"/>
    <w:lvl w:ilvl="0" w:tplc="35B24086">
      <w:start w:val="1"/>
      <w:numFmt w:val="lowerLetter"/>
      <w:pStyle w:val="N4-4thBullet"/>
      <w:lvlText w:val="%1."/>
      <w:lvlJc w:val="left"/>
      <w:pPr>
        <w:tabs>
          <w:tab w:val="num" w:pos="2880"/>
        </w:tabs>
        <w:ind w:left="2880" w:hanging="576"/>
      </w:pPr>
      <w:rPr>
        <w:rFonts w:ascii="Cambria" w:hAnsi="Cambria" w:hint="default"/>
        <w:b/>
        <w:i w:val="0"/>
        <w:caps w:val="0"/>
        <w:color w:val="356DA2"/>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B32E68"/>
    <w:multiLevelType w:val="hybridMultilevel"/>
    <w:tmpl w:val="E9645512"/>
    <w:lvl w:ilvl="0" w:tplc="CA42C06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B21D1F"/>
    <w:multiLevelType w:val="hybridMultilevel"/>
    <w:tmpl w:val="C0AC0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560E5"/>
    <w:multiLevelType w:val="hybridMultilevel"/>
    <w:tmpl w:val="AF5001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2F408D"/>
    <w:multiLevelType w:val="hybridMultilevel"/>
    <w:tmpl w:val="F7D2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FB6DC3"/>
    <w:multiLevelType w:val="hybridMultilevel"/>
    <w:tmpl w:val="34D4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35ABB"/>
    <w:multiLevelType w:val="hybridMultilevel"/>
    <w:tmpl w:val="3EACA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C76E7"/>
    <w:multiLevelType w:val="hybridMultilevel"/>
    <w:tmpl w:val="BACE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475D9C"/>
    <w:multiLevelType w:val="hybridMultilevel"/>
    <w:tmpl w:val="0CBAA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BA4D5E"/>
    <w:multiLevelType w:val="hybridMultilevel"/>
    <w:tmpl w:val="89FC1372"/>
    <w:lvl w:ilvl="0" w:tplc="6A2699B2">
      <w:start w:val="1"/>
      <w:numFmt w:val="bullet"/>
      <w:pStyle w:val="N1-1stBullet"/>
      <w:lvlText w:val="»"/>
      <w:lvlJc w:val="left"/>
      <w:pPr>
        <w:ind w:left="360" w:hanging="360"/>
      </w:pPr>
      <w:rPr>
        <w:rFonts w:ascii="Calibri" w:hAnsi="Calibri" w:hint="default"/>
        <w:color w:val="32861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272F80"/>
    <w:multiLevelType w:val="hybridMultilevel"/>
    <w:tmpl w:val="2D801180"/>
    <w:lvl w:ilvl="0" w:tplc="E182B93E">
      <w:start w:val="1"/>
      <w:numFmt w:val="decimal"/>
      <w:pStyle w:val="N3-3rdBullet"/>
      <w:lvlText w:val="%1."/>
      <w:lvlJc w:val="left"/>
      <w:pPr>
        <w:tabs>
          <w:tab w:val="num" w:pos="2304"/>
        </w:tabs>
        <w:ind w:left="2304" w:hanging="576"/>
      </w:pPr>
      <w:rPr>
        <w:rFonts w:ascii="Calibri" w:hAnsi="Calibri" w:hint="default"/>
        <w:b/>
        <w:i w:val="0"/>
        <w:color w:val="328612"/>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341512"/>
    <w:multiLevelType w:val="hybridMultilevel"/>
    <w:tmpl w:val="F66AE552"/>
    <w:lvl w:ilvl="0" w:tplc="39A041DE">
      <w:start w:val="1"/>
      <w:numFmt w:val="bullet"/>
      <w:lvlText w:val="≫"/>
      <w:lvlJc w:val="left"/>
      <w:pPr>
        <w:tabs>
          <w:tab w:val="num" w:pos="720"/>
        </w:tabs>
        <w:ind w:left="720" w:hanging="360"/>
      </w:pPr>
      <w:rPr>
        <w:rFonts w:ascii="Noto Sans Symbols" w:hAnsi="Noto Sans Symbols" w:hint="default"/>
      </w:rPr>
    </w:lvl>
    <w:lvl w:ilvl="1" w:tplc="37228728" w:tentative="1">
      <w:start w:val="1"/>
      <w:numFmt w:val="bullet"/>
      <w:lvlText w:val="≫"/>
      <w:lvlJc w:val="left"/>
      <w:pPr>
        <w:tabs>
          <w:tab w:val="num" w:pos="1440"/>
        </w:tabs>
        <w:ind w:left="1440" w:hanging="360"/>
      </w:pPr>
      <w:rPr>
        <w:rFonts w:ascii="Noto Sans Symbols" w:hAnsi="Noto Sans Symbols" w:hint="default"/>
      </w:rPr>
    </w:lvl>
    <w:lvl w:ilvl="2" w:tplc="A190940A" w:tentative="1">
      <w:start w:val="1"/>
      <w:numFmt w:val="bullet"/>
      <w:lvlText w:val="≫"/>
      <w:lvlJc w:val="left"/>
      <w:pPr>
        <w:tabs>
          <w:tab w:val="num" w:pos="2160"/>
        </w:tabs>
        <w:ind w:left="2160" w:hanging="360"/>
      </w:pPr>
      <w:rPr>
        <w:rFonts w:ascii="Noto Sans Symbols" w:hAnsi="Noto Sans Symbols" w:hint="default"/>
      </w:rPr>
    </w:lvl>
    <w:lvl w:ilvl="3" w:tplc="AC9438A0" w:tentative="1">
      <w:start w:val="1"/>
      <w:numFmt w:val="bullet"/>
      <w:lvlText w:val="≫"/>
      <w:lvlJc w:val="left"/>
      <w:pPr>
        <w:tabs>
          <w:tab w:val="num" w:pos="2880"/>
        </w:tabs>
        <w:ind w:left="2880" w:hanging="360"/>
      </w:pPr>
      <w:rPr>
        <w:rFonts w:ascii="Noto Sans Symbols" w:hAnsi="Noto Sans Symbols" w:hint="default"/>
      </w:rPr>
    </w:lvl>
    <w:lvl w:ilvl="4" w:tplc="BEF8CDA6" w:tentative="1">
      <w:start w:val="1"/>
      <w:numFmt w:val="bullet"/>
      <w:lvlText w:val="≫"/>
      <w:lvlJc w:val="left"/>
      <w:pPr>
        <w:tabs>
          <w:tab w:val="num" w:pos="3600"/>
        </w:tabs>
        <w:ind w:left="3600" w:hanging="360"/>
      </w:pPr>
      <w:rPr>
        <w:rFonts w:ascii="Noto Sans Symbols" w:hAnsi="Noto Sans Symbols" w:hint="default"/>
      </w:rPr>
    </w:lvl>
    <w:lvl w:ilvl="5" w:tplc="D17C17C4" w:tentative="1">
      <w:start w:val="1"/>
      <w:numFmt w:val="bullet"/>
      <w:lvlText w:val="≫"/>
      <w:lvlJc w:val="left"/>
      <w:pPr>
        <w:tabs>
          <w:tab w:val="num" w:pos="4320"/>
        </w:tabs>
        <w:ind w:left="4320" w:hanging="360"/>
      </w:pPr>
      <w:rPr>
        <w:rFonts w:ascii="Noto Sans Symbols" w:hAnsi="Noto Sans Symbols" w:hint="default"/>
      </w:rPr>
    </w:lvl>
    <w:lvl w:ilvl="6" w:tplc="0C92C168" w:tentative="1">
      <w:start w:val="1"/>
      <w:numFmt w:val="bullet"/>
      <w:lvlText w:val="≫"/>
      <w:lvlJc w:val="left"/>
      <w:pPr>
        <w:tabs>
          <w:tab w:val="num" w:pos="5040"/>
        </w:tabs>
        <w:ind w:left="5040" w:hanging="360"/>
      </w:pPr>
      <w:rPr>
        <w:rFonts w:ascii="Noto Sans Symbols" w:hAnsi="Noto Sans Symbols" w:hint="default"/>
      </w:rPr>
    </w:lvl>
    <w:lvl w:ilvl="7" w:tplc="4E9E63F0" w:tentative="1">
      <w:start w:val="1"/>
      <w:numFmt w:val="bullet"/>
      <w:lvlText w:val="≫"/>
      <w:lvlJc w:val="left"/>
      <w:pPr>
        <w:tabs>
          <w:tab w:val="num" w:pos="5760"/>
        </w:tabs>
        <w:ind w:left="5760" w:hanging="360"/>
      </w:pPr>
      <w:rPr>
        <w:rFonts w:ascii="Noto Sans Symbols" w:hAnsi="Noto Sans Symbols" w:hint="default"/>
      </w:rPr>
    </w:lvl>
    <w:lvl w:ilvl="8" w:tplc="54049B18" w:tentative="1">
      <w:start w:val="1"/>
      <w:numFmt w:val="bullet"/>
      <w:lvlText w:val="≫"/>
      <w:lvlJc w:val="left"/>
      <w:pPr>
        <w:tabs>
          <w:tab w:val="num" w:pos="6480"/>
        </w:tabs>
        <w:ind w:left="6480" w:hanging="360"/>
      </w:pPr>
      <w:rPr>
        <w:rFonts w:ascii="Noto Sans Symbols" w:hAnsi="Noto Sans Symbols" w:hint="default"/>
      </w:rPr>
    </w:lvl>
  </w:abstractNum>
  <w:abstractNum w:abstractNumId="16" w15:restartNumberingAfterBreak="0">
    <w:nsid w:val="4AE86CCA"/>
    <w:multiLevelType w:val="hybridMultilevel"/>
    <w:tmpl w:val="560A23D0"/>
    <w:lvl w:ilvl="0" w:tplc="62F26D84">
      <w:start w:val="1"/>
      <w:numFmt w:val="bullet"/>
      <w:pStyle w:val="N2-2ndBullet"/>
      <w:lvlText w:val="›"/>
      <w:lvlJc w:val="left"/>
      <w:pPr>
        <w:ind w:left="1008" w:hanging="360"/>
      </w:pPr>
      <w:rPr>
        <w:rFonts w:ascii="Calibri" w:hAnsi="Calibri" w:hint="default"/>
        <w:b/>
        <w:i w:val="0"/>
        <w:color w:val="356DA2"/>
        <w:sz w:val="22"/>
        <w:szCs w:val="36"/>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50440D83"/>
    <w:multiLevelType w:val="hybridMultilevel"/>
    <w:tmpl w:val="0318F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3B4A92"/>
    <w:multiLevelType w:val="hybridMultilevel"/>
    <w:tmpl w:val="A964F5A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67D93FF8"/>
    <w:multiLevelType w:val="hybridMultilevel"/>
    <w:tmpl w:val="B378AA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375926"/>
    <w:multiLevelType w:val="hybridMultilevel"/>
    <w:tmpl w:val="9FE82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5E0D3A"/>
    <w:multiLevelType w:val="hybridMultilevel"/>
    <w:tmpl w:val="B5D8A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C41EF5"/>
    <w:multiLevelType w:val="hybridMultilevel"/>
    <w:tmpl w:val="39A851BA"/>
    <w:lvl w:ilvl="0" w:tplc="AF66476A">
      <w:start w:val="1"/>
      <w:numFmt w:val="bullet"/>
      <w:lvlText w:val="›"/>
      <w:lvlJc w:val="left"/>
      <w:pPr>
        <w:tabs>
          <w:tab w:val="num" w:pos="1728"/>
        </w:tabs>
        <w:ind w:left="1728" w:hanging="576"/>
      </w:pPr>
      <w:rPr>
        <w:rFonts w:ascii="Calibri" w:hAnsi="Calibri" w:hint="default"/>
        <w:b/>
        <w:i w:val="0"/>
        <w:color w:val="356DA2"/>
        <w:sz w:val="22"/>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B63C12"/>
    <w:multiLevelType w:val="hybridMultilevel"/>
    <w:tmpl w:val="70F4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20"/>
  </w:num>
  <w:num w:numId="4">
    <w:abstractNumId w:val="11"/>
  </w:num>
  <w:num w:numId="5">
    <w:abstractNumId w:val="17"/>
  </w:num>
  <w:num w:numId="6">
    <w:abstractNumId w:val="9"/>
  </w:num>
  <w:num w:numId="7">
    <w:abstractNumId w:val="2"/>
  </w:num>
  <w:num w:numId="8">
    <w:abstractNumId w:val="1"/>
  </w:num>
  <w:num w:numId="9">
    <w:abstractNumId w:val="1"/>
    <w:lvlOverride w:ilvl="0">
      <w:startOverride w:val="1"/>
    </w:lvlOverride>
  </w:num>
  <w:num w:numId="10">
    <w:abstractNumId w:val="22"/>
  </w:num>
  <w:num w:numId="11">
    <w:abstractNumId w:val="14"/>
  </w:num>
  <w:num w:numId="12">
    <w:abstractNumId w:val="4"/>
  </w:num>
  <w:num w:numId="13">
    <w:abstractNumId w:val="13"/>
  </w:num>
  <w:num w:numId="14">
    <w:abstractNumId w:val="16"/>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6"/>
  </w:num>
  <w:num w:numId="23">
    <w:abstractNumId w:val="10"/>
  </w:num>
  <w:num w:numId="24">
    <w:abstractNumId w:val="12"/>
  </w:num>
  <w:num w:numId="25">
    <w:abstractNumId w:val="21"/>
  </w:num>
  <w:num w:numId="26">
    <w:abstractNumId w:val="8"/>
  </w:num>
  <w:num w:numId="27">
    <w:abstractNumId w:val="7"/>
  </w:num>
  <w:num w:numId="28">
    <w:abstractNumId w:val="5"/>
  </w:num>
  <w:num w:numId="29">
    <w:abstractNumId w:val="3"/>
  </w:num>
  <w:num w:numId="30">
    <w:abstractNumId w:val="0"/>
  </w:num>
  <w:num w:numId="31">
    <w:abstractNumId w:val="1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9D7"/>
    <w:rsid w:val="00010E0C"/>
    <w:rsid w:val="00016841"/>
    <w:rsid w:val="00030B39"/>
    <w:rsid w:val="000310BA"/>
    <w:rsid w:val="000748F3"/>
    <w:rsid w:val="000906BF"/>
    <w:rsid w:val="00094750"/>
    <w:rsid w:val="000A46D2"/>
    <w:rsid w:val="000B0894"/>
    <w:rsid w:val="000B5F16"/>
    <w:rsid w:val="000B65E4"/>
    <w:rsid w:val="000C2277"/>
    <w:rsid w:val="000C6B6C"/>
    <w:rsid w:val="000D3D5E"/>
    <w:rsid w:val="000F36CA"/>
    <w:rsid w:val="000F5AB5"/>
    <w:rsid w:val="00104F94"/>
    <w:rsid w:val="001055FA"/>
    <w:rsid w:val="00111D63"/>
    <w:rsid w:val="0011576B"/>
    <w:rsid w:val="0011601F"/>
    <w:rsid w:val="00125071"/>
    <w:rsid w:val="001333B8"/>
    <w:rsid w:val="00147D11"/>
    <w:rsid w:val="00154837"/>
    <w:rsid w:val="0015678B"/>
    <w:rsid w:val="001663E4"/>
    <w:rsid w:val="001821DA"/>
    <w:rsid w:val="00193C56"/>
    <w:rsid w:val="001956DC"/>
    <w:rsid w:val="00197C88"/>
    <w:rsid w:val="001A5605"/>
    <w:rsid w:val="001A7440"/>
    <w:rsid w:val="001A757E"/>
    <w:rsid w:val="001C73D9"/>
    <w:rsid w:val="001D0187"/>
    <w:rsid w:val="001D411D"/>
    <w:rsid w:val="001D5885"/>
    <w:rsid w:val="001F12BA"/>
    <w:rsid w:val="001F19ED"/>
    <w:rsid w:val="002027F5"/>
    <w:rsid w:val="00202C19"/>
    <w:rsid w:val="0020305E"/>
    <w:rsid w:val="00237001"/>
    <w:rsid w:val="00256739"/>
    <w:rsid w:val="00256DDF"/>
    <w:rsid w:val="00264A74"/>
    <w:rsid w:val="002955A0"/>
    <w:rsid w:val="002A0E8F"/>
    <w:rsid w:val="002A5E21"/>
    <w:rsid w:val="002C4204"/>
    <w:rsid w:val="002C637A"/>
    <w:rsid w:val="002D5DDA"/>
    <w:rsid w:val="002E773C"/>
    <w:rsid w:val="002F1236"/>
    <w:rsid w:val="00305A12"/>
    <w:rsid w:val="003109D7"/>
    <w:rsid w:val="00313097"/>
    <w:rsid w:val="00321081"/>
    <w:rsid w:val="00322786"/>
    <w:rsid w:val="0032386B"/>
    <w:rsid w:val="00332592"/>
    <w:rsid w:val="00332F1B"/>
    <w:rsid w:val="00334252"/>
    <w:rsid w:val="0034340A"/>
    <w:rsid w:val="003502B3"/>
    <w:rsid w:val="0036674A"/>
    <w:rsid w:val="00367F38"/>
    <w:rsid w:val="00371F24"/>
    <w:rsid w:val="00375A95"/>
    <w:rsid w:val="003A63DB"/>
    <w:rsid w:val="003B706D"/>
    <w:rsid w:val="003D58DF"/>
    <w:rsid w:val="003E0953"/>
    <w:rsid w:val="003E1E0E"/>
    <w:rsid w:val="003E3960"/>
    <w:rsid w:val="003F6355"/>
    <w:rsid w:val="004007B2"/>
    <w:rsid w:val="00424624"/>
    <w:rsid w:val="00426968"/>
    <w:rsid w:val="00427693"/>
    <w:rsid w:val="004313E3"/>
    <w:rsid w:val="00443091"/>
    <w:rsid w:val="00447A2E"/>
    <w:rsid w:val="00451F02"/>
    <w:rsid w:val="00452C9B"/>
    <w:rsid w:val="0046674B"/>
    <w:rsid w:val="004707BF"/>
    <w:rsid w:val="0047500D"/>
    <w:rsid w:val="004758CD"/>
    <w:rsid w:val="004A3799"/>
    <w:rsid w:val="004B1946"/>
    <w:rsid w:val="004C1805"/>
    <w:rsid w:val="004C21A3"/>
    <w:rsid w:val="004C67BF"/>
    <w:rsid w:val="004E02AC"/>
    <w:rsid w:val="004E5C5D"/>
    <w:rsid w:val="004E667F"/>
    <w:rsid w:val="004F7620"/>
    <w:rsid w:val="005004BF"/>
    <w:rsid w:val="0051357B"/>
    <w:rsid w:val="00535720"/>
    <w:rsid w:val="00546AE9"/>
    <w:rsid w:val="005540E5"/>
    <w:rsid w:val="00582ACF"/>
    <w:rsid w:val="00587DFA"/>
    <w:rsid w:val="005A4BAF"/>
    <w:rsid w:val="005C0ED0"/>
    <w:rsid w:val="005D4F16"/>
    <w:rsid w:val="005E6F63"/>
    <w:rsid w:val="005E7B40"/>
    <w:rsid w:val="005F0224"/>
    <w:rsid w:val="005F63BD"/>
    <w:rsid w:val="00612D90"/>
    <w:rsid w:val="00617093"/>
    <w:rsid w:val="0063213C"/>
    <w:rsid w:val="00636B5D"/>
    <w:rsid w:val="00640C6E"/>
    <w:rsid w:val="00643D01"/>
    <w:rsid w:val="00645919"/>
    <w:rsid w:val="00647BA7"/>
    <w:rsid w:val="00655849"/>
    <w:rsid w:val="0066001E"/>
    <w:rsid w:val="0067081B"/>
    <w:rsid w:val="006722C1"/>
    <w:rsid w:val="0069542F"/>
    <w:rsid w:val="0069561A"/>
    <w:rsid w:val="006A22A1"/>
    <w:rsid w:val="006A4688"/>
    <w:rsid w:val="006A54D1"/>
    <w:rsid w:val="006B2DB2"/>
    <w:rsid w:val="006C5891"/>
    <w:rsid w:val="006C74E5"/>
    <w:rsid w:val="006E103F"/>
    <w:rsid w:val="006E1A10"/>
    <w:rsid w:val="006E2731"/>
    <w:rsid w:val="006E282D"/>
    <w:rsid w:val="006F62F7"/>
    <w:rsid w:val="006F745A"/>
    <w:rsid w:val="007002CC"/>
    <w:rsid w:val="00712DC8"/>
    <w:rsid w:val="00715A9D"/>
    <w:rsid w:val="00743E6B"/>
    <w:rsid w:val="00753B98"/>
    <w:rsid w:val="00766CBB"/>
    <w:rsid w:val="00772CC9"/>
    <w:rsid w:val="007808AE"/>
    <w:rsid w:val="00780E39"/>
    <w:rsid w:val="007832DC"/>
    <w:rsid w:val="0078385C"/>
    <w:rsid w:val="007A0EA7"/>
    <w:rsid w:val="007A4A82"/>
    <w:rsid w:val="007B521C"/>
    <w:rsid w:val="007C4970"/>
    <w:rsid w:val="007D17A0"/>
    <w:rsid w:val="007D32CD"/>
    <w:rsid w:val="007E0E22"/>
    <w:rsid w:val="007F626A"/>
    <w:rsid w:val="00803B92"/>
    <w:rsid w:val="00804F65"/>
    <w:rsid w:val="00805F39"/>
    <w:rsid w:val="00807BFF"/>
    <w:rsid w:val="00811276"/>
    <w:rsid w:val="00812368"/>
    <w:rsid w:val="00823C38"/>
    <w:rsid w:val="00824667"/>
    <w:rsid w:val="0083243F"/>
    <w:rsid w:val="00856F77"/>
    <w:rsid w:val="00865E9D"/>
    <w:rsid w:val="008A2DD7"/>
    <w:rsid w:val="008B5C7A"/>
    <w:rsid w:val="008D72FA"/>
    <w:rsid w:val="008E2464"/>
    <w:rsid w:val="00922282"/>
    <w:rsid w:val="00922719"/>
    <w:rsid w:val="009312C8"/>
    <w:rsid w:val="0094245D"/>
    <w:rsid w:val="00957BB0"/>
    <w:rsid w:val="009614DF"/>
    <w:rsid w:val="00966925"/>
    <w:rsid w:val="00966BB8"/>
    <w:rsid w:val="00966D16"/>
    <w:rsid w:val="0097521E"/>
    <w:rsid w:val="00982C22"/>
    <w:rsid w:val="00983BE0"/>
    <w:rsid w:val="00983CA3"/>
    <w:rsid w:val="00985272"/>
    <w:rsid w:val="009A019F"/>
    <w:rsid w:val="009A0BD9"/>
    <w:rsid w:val="009A1BE0"/>
    <w:rsid w:val="009B09DC"/>
    <w:rsid w:val="009B2323"/>
    <w:rsid w:val="009B3ABE"/>
    <w:rsid w:val="009B4EAD"/>
    <w:rsid w:val="009B6697"/>
    <w:rsid w:val="009C7C6F"/>
    <w:rsid w:val="009E2B5F"/>
    <w:rsid w:val="00A01596"/>
    <w:rsid w:val="00A0324D"/>
    <w:rsid w:val="00A132EF"/>
    <w:rsid w:val="00A1670B"/>
    <w:rsid w:val="00A2118A"/>
    <w:rsid w:val="00A24082"/>
    <w:rsid w:val="00A43FAE"/>
    <w:rsid w:val="00A51C35"/>
    <w:rsid w:val="00A52396"/>
    <w:rsid w:val="00A53ADC"/>
    <w:rsid w:val="00A56230"/>
    <w:rsid w:val="00A61512"/>
    <w:rsid w:val="00A84429"/>
    <w:rsid w:val="00A87B0D"/>
    <w:rsid w:val="00AA726A"/>
    <w:rsid w:val="00AB3C1C"/>
    <w:rsid w:val="00AB6690"/>
    <w:rsid w:val="00AE0CDD"/>
    <w:rsid w:val="00AE1A49"/>
    <w:rsid w:val="00AE5267"/>
    <w:rsid w:val="00AF62D3"/>
    <w:rsid w:val="00B03E1A"/>
    <w:rsid w:val="00B14694"/>
    <w:rsid w:val="00B2524C"/>
    <w:rsid w:val="00B51C5A"/>
    <w:rsid w:val="00B53B8B"/>
    <w:rsid w:val="00B6059A"/>
    <w:rsid w:val="00B65E4E"/>
    <w:rsid w:val="00B97B62"/>
    <w:rsid w:val="00BB1170"/>
    <w:rsid w:val="00BB6C66"/>
    <w:rsid w:val="00BC7BFB"/>
    <w:rsid w:val="00BD0027"/>
    <w:rsid w:val="00BD132B"/>
    <w:rsid w:val="00BD5A05"/>
    <w:rsid w:val="00BE2320"/>
    <w:rsid w:val="00BF28DF"/>
    <w:rsid w:val="00C42685"/>
    <w:rsid w:val="00C565F1"/>
    <w:rsid w:val="00C61358"/>
    <w:rsid w:val="00C77D7E"/>
    <w:rsid w:val="00C80DDA"/>
    <w:rsid w:val="00CA360C"/>
    <w:rsid w:val="00CB1C19"/>
    <w:rsid w:val="00CF12C3"/>
    <w:rsid w:val="00CF4184"/>
    <w:rsid w:val="00CF6479"/>
    <w:rsid w:val="00CF7F94"/>
    <w:rsid w:val="00D0527F"/>
    <w:rsid w:val="00D1061F"/>
    <w:rsid w:val="00D1108C"/>
    <w:rsid w:val="00D12914"/>
    <w:rsid w:val="00D138BC"/>
    <w:rsid w:val="00D1477F"/>
    <w:rsid w:val="00D20C30"/>
    <w:rsid w:val="00D425E6"/>
    <w:rsid w:val="00D5316D"/>
    <w:rsid w:val="00D62A2B"/>
    <w:rsid w:val="00D972EE"/>
    <w:rsid w:val="00DA041A"/>
    <w:rsid w:val="00DC06DA"/>
    <w:rsid w:val="00DC0BF3"/>
    <w:rsid w:val="00DD779B"/>
    <w:rsid w:val="00DE62F5"/>
    <w:rsid w:val="00DF2B29"/>
    <w:rsid w:val="00E028FD"/>
    <w:rsid w:val="00E068A8"/>
    <w:rsid w:val="00E22801"/>
    <w:rsid w:val="00E35611"/>
    <w:rsid w:val="00E361A5"/>
    <w:rsid w:val="00E36837"/>
    <w:rsid w:val="00E440CD"/>
    <w:rsid w:val="00E53DAA"/>
    <w:rsid w:val="00E63BDF"/>
    <w:rsid w:val="00E72C4D"/>
    <w:rsid w:val="00E72E20"/>
    <w:rsid w:val="00E80ABB"/>
    <w:rsid w:val="00E85441"/>
    <w:rsid w:val="00E912C8"/>
    <w:rsid w:val="00E964DC"/>
    <w:rsid w:val="00EA01CE"/>
    <w:rsid w:val="00EA58FB"/>
    <w:rsid w:val="00EB3CF2"/>
    <w:rsid w:val="00EB474C"/>
    <w:rsid w:val="00EB4DEF"/>
    <w:rsid w:val="00EC2E22"/>
    <w:rsid w:val="00ED4383"/>
    <w:rsid w:val="00ED5787"/>
    <w:rsid w:val="00F01B67"/>
    <w:rsid w:val="00F0605F"/>
    <w:rsid w:val="00F12445"/>
    <w:rsid w:val="00F1424C"/>
    <w:rsid w:val="00F20342"/>
    <w:rsid w:val="00F566B6"/>
    <w:rsid w:val="00F8431C"/>
    <w:rsid w:val="00F86BD1"/>
    <w:rsid w:val="00F93960"/>
    <w:rsid w:val="00F93FA1"/>
    <w:rsid w:val="00FA2DBC"/>
    <w:rsid w:val="00FA4530"/>
    <w:rsid w:val="00FA5940"/>
    <w:rsid w:val="00FA661E"/>
    <w:rsid w:val="00FC4B05"/>
    <w:rsid w:val="00FD5A0A"/>
    <w:rsid w:val="00FD7238"/>
    <w:rsid w:val="00FE1F6F"/>
    <w:rsid w:val="00FE5928"/>
    <w:rsid w:val="0A01C33C"/>
    <w:rsid w:val="14112A8A"/>
    <w:rsid w:val="7609A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3FEB7"/>
  <w15:docId w15:val="{2AE1B22E-38EC-49E6-A14A-8B5CF298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ED0"/>
    <w:pPr>
      <w:spacing w:after="0" w:line="240" w:lineRule="auto"/>
    </w:pPr>
    <w:rPr>
      <w:sz w:val="24"/>
      <w:szCs w:val="24"/>
    </w:rPr>
  </w:style>
  <w:style w:type="paragraph" w:styleId="Heading1">
    <w:name w:val="heading 1"/>
    <w:aliases w:val="H1-Chap. Head"/>
    <w:basedOn w:val="Normal"/>
    <w:link w:val="Heading1Char"/>
    <w:qFormat/>
    <w:rsid w:val="005C0ED0"/>
    <w:pPr>
      <w:keepNext/>
      <w:tabs>
        <w:tab w:val="left" w:pos="1152"/>
      </w:tabs>
      <w:spacing w:after="360" w:line="620" w:lineRule="atLeast"/>
      <w:outlineLvl w:val="0"/>
    </w:pPr>
    <w:rPr>
      <w:rFonts w:eastAsia="Times New Roman" w:cstheme="minorHAnsi"/>
      <w:b/>
      <w:color w:val="356DA2"/>
      <w:sz w:val="48"/>
      <w:szCs w:val="48"/>
    </w:rPr>
  </w:style>
  <w:style w:type="paragraph" w:styleId="Heading2">
    <w:name w:val="heading 2"/>
    <w:aliases w:val="H2-Sec. Head"/>
    <w:basedOn w:val="Normal"/>
    <w:next w:val="Normal"/>
    <w:link w:val="Heading2Char"/>
    <w:unhideWhenUsed/>
    <w:qFormat/>
    <w:rsid w:val="005C0ED0"/>
    <w:pPr>
      <w:keepNext/>
      <w:tabs>
        <w:tab w:val="left" w:pos="1152"/>
      </w:tabs>
      <w:spacing w:after="72" w:line="440" w:lineRule="atLeast"/>
      <w:ind w:left="1152" w:hanging="1152"/>
      <w:outlineLvl w:val="1"/>
    </w:pPr>
    <w:rPr>
      <w:rFonts w:eastAsia="Times New Roman" w:cstheme="minorHAnsi"/>
      <w:color w:val="328612"/>
      <w:sz w:val="36"/>
      <w:szCs w:val="36"/>
    </w:rPr>
  </w:style>
  <w:style w:type="paragraph" w:styleId="Heading3">
    <w:name w:val="heading 3"/>
    <w:aliases w:val="H3-Sec. Head"/>
    <w:basedOn w:val="Normal"/>
    <w:next w:val="Normal"/>
    <w:link w:val="Heading3Char"/>
    <w:unhideWhenUsed/>
    <w:qFormat/>
    <w:rsid w:val="005C0ED0"/>
    <w:pPr>
      <w:keepNext/>
      <w:tabs>
        <w:tab w:val="left" w:pos="1152"/>
      </w:tabs>
      <w:spacing w:before="120" w:after="72" w:line="380" w:lineRule="atLeast"/>
      <w:ind w:left="1152" w:hanging="1152"/>
      <w:outlineLvl w:val="2"/>
    </w:pPr>
    <w:rPr>
      <w:rFonts w:eastAsia="Times New Roman" w:cstheme="minorHAnsi"/>
      <w:b/>
      <w:color w:val="356DA2"/>
      <w:sz w:val="32"/>
      <w:szCs w:val="32"/>
    </w:rPr>
  </w:style>
  <w:style w:type="paragraph" w:styleId="Heading4">
    <w:name w:val="heading 4"/>
    <w:aliases w:val="H4-Sec. Head"/>
    <w:basedOn w:val="Normal"/>
    <w:next w:val="Normal"/>
    <w:link w:val="Heading4Char"/>
    <w:unhideWhenUsed/>
    <w:qFormat/>
    <w:rsid w:val="005C0ED0"/>
    <w:pPr>
      <w:keepNext/>
      <w:tabs>
        <w:tab w:val="left" w:pos="1152"/>
      </w:tabs>
      <w:spacing w:after="70" w:line="280" w:lineRule="atLeast"/>
      <w:ind w:left="1152" w:hanging="1152"/>
      <w:outlineLvl w:val="3"/>
    </w:pPr>
    <w:rPr>
      <w:rFonts w:eastAsia="Times New Roman" w:cstheme="minorHAnsi"/>
      <w:color w:val="356DA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9D7"/>
    <w:pPr>
      <w:ind w:left="720"/>
      <w:contextualSpacing/>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5C0ED0"/>
    <w:rPr>
      <w:sz w:val="20"/>
      <w:szCs w:val="20"/>
    </w:rPr>
  </w:style>
  <w:style w:type="character" w:customStyle="1" w:styleId="FootnoteTextChar">
    <w:name w:val="Footnote Text Char"/>
    <w:basedOn w:val="DefaultParagraphFont"/>
    <w:link w:val="FootnoteText"/>
    <w:uiPriority w:val="99"/>
    <w:rsid w:val="005C0ED0"/>
    <w:rPr>
      <w:sz w:val="20"/>
      <w:szCs w:val="20"/>
    </w:rPr>
  </w:style>
  <w:style w:type="character" w:styleId="FootnoteReference">
    <w:name w:val="footnote reference"/>
    <w:basedOn w:val="DefaultParagraphFont"/>
    <w:rsid w:val="003109D7"/>
    <w:rPr>
      <w:vertAlign w:val="superscript"/>
    </w:rPr>
  </w:style>
  <w:style w:type="paragraph" w:styleId="BalloonText">
    <w:name w:val="Balloon Text"/>
    <w:basedOn w:val="Normal"/>
    <w:link w:val="BalloonTextChar"/>
    <w:uiPriority w:val="99"/>
    <w:semiHidden/>
    <w:unhideWhenUsed/>
    <w:rsid w:val="003109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9D7"/>
    <w:rPr>
      <w:rFonts w:ascii="Segoe UI" w:hAnsi="Segoe UI" w:cs="Segoe UI"/>
      <w:sz w:val="18"/>
      <w:szCs w:val="18"/>
    </w:rPr>
  </w:style>
  <w:style w:type="character" w:styleId="CommentReference">
    <w:name w:val="annotation reference"/>
    <w:basedOn w:val="DefaultParagraphFont"/>
    <w:uiPriority w:val="99"/>
    <w:semiHidden/>
    <w:unhideWhenUsed/>
    <w:rsid w:val="000B65E4"/>
    <w:rPr>
      <w:sz w:val="16"/>
      <w:szCs w:val="16"/>
    </w:rPr>
  </w:style>
  <w:style w:type="paragraph" w:styleId="CommentText">
    <w:name w:val="annotation text"/>
    <w:basedOn w:val="Normal"/>
    <w:link w:val="CommentTextChar"/>
    <w:uiPriority w:val="99"/>
    <w:semiHidden/>
    <w:unhideWhenUsed/>
    <w:rsid w:val="000B65E4"/>
    <w:rPr>
      <w:sz w:val="20"/>
      <w:szCs w:val="20"/>
    </w:rPr>
  </w:style>
  <w:style w:type="character" w:customStyle="1" w:styleId="CommentTextChar">
    <w:name w:val="Comment Text Char"/>
    <w:basedOn w:val="DefaultParagraphFont"/>
    <w:link w:val="CommentText"/>
    <w:uiPriority w:val="99"/>
    <w:semiHidden/>
    <w:rsid w:val="000B65E4"/>
    <w:rPr>
      <w:sz w:val="20"/>
      <w:szCs w:val="20"/>
    </w:rPr>
  </w:style>
  <w:style w:type="paragraph" w:styleId="CommentSubject">
    <w:name w:val="annotation subject"/>
    <w:basedOn w:val="CommentText"/>
    <w:next w:val="CommentText"/>
    <w:link w:val="CommentSubjectChar"/>
    <w:uiPriority w:val="99"/>
    <w:semiHidden/>
    <w:unhideWhenUsed/>
    <w:rsid w:val="000B65E4"/>
    <w:rPr>
      <w:b/>
      <w:bCs/>
    </w:rPr>
  </w:style>
  <w:style w:type="character" w:customStyle="1" w:styleId="CommentSubjectChar">
    <w:name w:val="Comment Subject Char"/>
    <w:basedOn w:val="CommentTextChar"/>
    <w:link w:val="CommentSubject"/>
    <w:uiPriority w:val="99"/>
    <w:semiHidden/>
    <w:rsid w:val="000B65E4"/>
    <w:rPr>
      <w:b/>
      <w:bCs/>
      <w:sz w:val="20"/>
      <w:szCs w:val="20"/>
    </w:rPr>
  </w:style>
  <w:style w:type="table" w:styleId="TableGrid">
    <w:name w:val="Table Grid"/>
    <w:basedOn w:val="TableNormal"/>
    <w:uiPriority w:val="59"/>
    <w:rsid w:val="005C0E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Chap. Head Char"/>
    <w:basedOn w:val="DefaultParagraphFont"/>
    <w:link w:val="Heading1"/>
    <w:rsid w:val="005C0ED0"/>
    <w:rPr>
      <w:rFonts w:eastAsia="Times New Roman" w:cstheme="minorHAnsi"/>
      <w:b/>
      <w:color w:val="356DA2"/>
      <w:sz w:val="48"/>
      <w:szCs w:val="48"/>
    </w:rPr>
  </w:style>
  <w:style w:type="character" w:customStyle="1" w:styleId="Heading2Char">
    <w:name w:val="Heading 2 Char"/>
    <w:aliases w:val="H2-Sec. Head Char"/>
    <w:basedOn w:val="DefaultParagraphFont"/>
    <w:link w:val="Heading2"/>
    <w:rsid w:val="005C0ED0"/>
    <w:rPr>
      <w:rFonts w:eastAsia="Times New Roman" w:cstheme="minorHAnsi"/>
      <w:color w:val="328612"/>
      <w:sz w:val="36"/>
      <w:szCs w:val="36"/>
    </w:rPr>
  </w:style>
  <w:style w:type="character" w:customStyle="1" w:styleId="Heading3Char">
    <w:name w:val="Heading 3 Char"/>
    <w:aliases w:val="H3-Sec. Head Char"/>
    <w:basedOn w:val="DefaultParagraphFont"/>
    <w:link w:val="Heading3"/>
    <w:rsid w:val="005C0ED0"/>
    <w:rPr>
      <w:rFonts w:eastAsia="Times New Roman" w:cstheme="minorHAnsi"/>
      <w:b/>
      <w:color w:val="356DA2"/>
      <w:sz w:val="32"/>
      <w:szCs w:val="32"/>
    </w:rPr>
  </w:style>
  <w:style w:type="character" w:customStyle="1" w:styleId="Heading4Char">
    <w:name w:val="Heading 4 Char"/>
    <w:aliases w:val="H4-Sec. Head Char"/>
    <w:basedOn w:val="DefaultParagraphFont"/>
    <w:link w:val="Heading4"/>
    <w:rsid w:val="005C0ED0"/>
    <w:rPr>
      <w:rFonts w:eastAsia="Times New Roman" w:cstheme="minorHAnsi"/>
      <w:color w:val="356DA2"/>
      <w:sz w:val="26"/>
      <w:szCs w:val="26"/>
    </w:rPr>
  </w:style>
  <w:style w:type="paragraph" w:styleId="Header">
    <w:name w:val="header"/>
    <w:basedOn w:val="Normal"/>
    <w:link w:val="HeaderChar"/>
    <w:autoRedefine/>
    <w:uiPriority w:val="99"/>
    <w:unhideWhenUsed/>
    <w:rsid w:val="005C0ED0"/>
    <w:pPr>
      <w:tabs>
        <w:tab w:val="center" w:pos="4680"/>
        <w:tab w:val="right" w:pos="9360"/>
      </w:tabs>
      <w:spacing w:after="480"/>
      <w:ind w:left="-360"/>
    </w:pPr>
    <w:rPr>
      <w:b/>
      <w:color w:val="F99A1B"/>
    </w:rPr>
  </w:style>
  <w:style w:type="character" w:customStyle="1" w:styleId="HeaderChar">
    <w:name w:val="Header Char"/>
    <w:basedOn w:val="DefaultParagraphFont"/>
    <w:link w:val="Header"/>
    <w:uiPriority w:val="99"/>
    <w:rsid w:val="005C0ED0"/>
    <w:rPr>
      <w:b/>
      <w:color w:val="F99A1B"/>
      <w:sz w:val="24"/>
      <w:szCs w:val="24"/>
    </w:rPr>
  </w:style>
  <w:style w:type="paragraph" w:styleId="Footer">
    <w:name w:val="footer"/>
    <w:basedOn w:val="Normal"/>
    <w:link w:val="FooterChar"/>
    <w:uiPriority w:val="99"/>
    <w:unhideWhenUsed/>
    <w:rsid w:val="005C0ED0"/>
    <w:pPr>
      <w:tabs>
        <w:tab w:val="center" w:pos="4680"/>
        <w:tab w:val="right" w:pos="9360"/>
      </w:tabs>
    </w:pPr>
  </w:style>
  <w:style w:type="character" w:customStyle="1" w:styleId="FooterChar">
    <w:name w:val="Footer Char"/>
    <w:basedOn w:val="DefaultParagraphFont"/>
    <w:link w:val="Footer"/>
    <w:uiPriority w:val="99"/>
    <w:rsid w:val="005C0ED0"/>
    <w:rPr>
      <w:sz w:val="24"/>
      <w:szCs w:val="24"/>
    </w:rPr>
  </w:style>
  <w:style w:type="paragraph" w:customStyle="1" w:styleId="SL-FlLftSgl">
    <w:name w:val="SL-Fl Lft Sgl"/>
    <w:basedOn w:val="Normal"/>
    <w:rsid w:val="005C0ED0"/>
    <w:pPr>
      <w:spacing w:after="180" w:line="320" w:lineRule="atLeast"/>
    </w:pPr>
    <w:rPr>
      <w:rFonts w:ascii="Cambria" w:eastAsia="Times New Roman" w:hAnsi="Cambria" w:cs="Times New Roman"/>
      <w:color w:val="2F4550"/>
      <w:sz w:val="22"/>
      <w:szCs w:val="22"/>
    </w:rPr>
  </w:style>
  <w:style w:type="paragraph" w:customStyle="1" w:styleId="N1-1stBullet">
    <w:name w:val="N1-1st Bullet"/>
    <w:rsid w:val="005C0ED0"/>
    <w:pPr>
      <w:numPr>
        <w:numId w:val="13"/>
      </w:numPr>
      <w:spacing w:after="90" w:line="300" w:lineRule="atLeast"/>
      <w:ind w:left="288" w:hanging="288"/>
    </w:pPr>
    <w:rPr>
      <w:rFonts w:ascii="Cambria" w:eastAsia="Times New Roman" w:hAnsi="Cambria" w:cs="Calibri"/>
      <w:color w:val="2F4550"/>
    </w:rPr>
  </w:style>
  <w:style w:type="paragraph" w:customStyle="1" w:styleId="N2-2ndBullet">
    <w:name w:val="N2-2nd Bullet"/>
    <w:rsid w:val="005C0ED0"/>
    <w:pPr>
      <w:numPr>
        <w:numId w:val="14"/>
      </w:numPr>
      <w:spacing w:after="90" w:line="300" w:lineRule="atLeast"/>
      <w:ind w:left="576" w:hanging="288"/>
    </w:pPr>
    <w:rPr>
      <w:rFonts w:ascii="Cambria" w:eastAsia="Times New Roman" w:hAnsi="Cambria" w:cstheme="minorHAnsi"/>
      <w:color w:val="2F4550"/>
    </w:rPr>
  </w:style>
  <w:style w:type="paragraph" w:customStyle="1" w:styleId="N3-3rdBullet">
    <w:name w:val="N3-3rd Bullet"/>
    <w:basedOn w:val="Normal"/>
    <w:rsid w:val="005C0ED0"/>
    <w:pPr>
      <w:numPr>
        <w:numId w:val="11"/>
      </w:numPr>
      <w:tabs>
        <w:tab w:val="clear" w:pos="2304"/>
      </w:tabs>
      <w:spacing w:after="180" w:line="300" w:lineRule="atLeast"/>
      <w:ind w:left="288" w:hanging="288"/>
    </w:pPr>
    <w:rPr>
      <w:rFonts w:ascii="Cambria" w:eastAsia="Times New Roman" w:hAnsi="Cambria" w:cs="Times New Roman"/>
      <w:color w:val="2F4550"/>
      <w:sz w:val="22"/>
      <w:szCs w:val="22"/>
    </w:rPr>
  </w:style>
  <w:style w:type="paragraph" w:customStyle="1" w:styleId="N4-4thBullet">
    <w:name w:val="N4-4th Bullet"/>
    <w:basedOn w:val="Normal"/>
    <w:rsid w:val="005C0ED0"/>
    <w:pPr>
      <w:numPr>
        <w:numId w:val="12"/>
      </w:numPr>
      <w:tabs>
        <w:tab w:val="clear" w:pos="2880"/>
      </w:tabs>
      <w:spacing w:after="180" w:line="300" w:lineRule="atLeast"/>
      <w:ind w:left="576" w:hanging="288"/>
    </w:pPr>
    <w:rPr>
      <w:rFonts w:ascii="Cambria" w:eastAsia="Times New Roman" w:hAnsi="Cambria" w:cs="Times New Roman"/>
      <w:color w:val="2F4550"/>
      <w:sz w:val="22"/>
      <w:szCs w:val="22"/>
    </w:rPr>
  </w:style>
  <w:style w:type="paragraph" w:customStyle="1" w:styleId="N7-3Block">
    <w:name w:val="N7-3&quot; Block"/>
    <w:basedOn w:val="Normal"/>
    <w:rsid w:val="005C0ED0"/>
    <w:pPr>
      <w:pBdr>
        <w:top w:val="single" w:sz="12" w:space="6" w:color="26A642"/>
        <w:bottom w:val="single" w:sz="12" w:space="6" w:color="26A642"/>
      </w:pBdr>
      <w:tabs>
        <w:tab w:val="left" w:pos="1152"/>
      </w:tabs>
      <w:spacing w:after="180" w:line="380" w:lineRule="atLeast"/>
      <w:ind w:left="360"/>
    </w:pPr>
    <w:rPr>
      <w:rFonts w:eastAsia="Times New Roman" w:cstheme="minorHAnsi"/>
      <w:color w:val="356DA2"/>
      <w:sz w:val="30"/>
      <w:szCs w:val="30"/>
    </w:rPr>
  </w:style>
  <w:style w:type="character" w:styleId="SubtleReference">
    <w:name w:val="Subtle Reference"/>
    <w:uiPriority w:val="31"/>
    <w:qFormat/>
    <w:rsid w:val="005C0ED0"/>
    <w:rPr>
      <w:b/>
      <w:sz w:val="22"/>
      <w:szCs w:val="22"/>
    </w:rPr>
  </w:style>
  <w:style w:type="paragraph" w:customStyle="1" w:styleId="Quote1">
    <w:name w:val="Quote 1"/>
    <w:basedOn w:val="N7-3Block"/>
    <w:qFormat/>
    <w:rsid w:val="005C0ED0"/>
    <w:pPr>
      <w:pBdr>
        <w:top w:val="single" w:sz="12" w:space="6" w:color="328612"/>
        <w:bottom w:val="single" w:sz="12" w:space="6" w:color="328612"/>
      </w:pBdr>
      <w:tabs>
        <w:tab w:val="clear" w:pos="1152"/>
      </w:tabs>
    </w:pPr>
  </w:style>
  <w:style w:type="paragraph" w:customStyle="1" w:styleId="TT-TableTitle">
    <w:name w:val="TT-Table Title"/>
    <w:rsid w:val="005C0ED0"/>
    <w:pPr>
      <w:keepNext/>
      <w:tabs>
        <w:tab w:val="left" w:pos="1440"/>
      </w:tabs>
      <w:spacing w:before="80" w:after="140" w:line="300" w:lineRule="atLeast"/>
      <w:ind w:left="1440" w:hanging="1440"/>
    </w:pPr>
    <w:rPr>
      <w:rFonts w:ascii="Calibri" w:eastAsia="Times New Roman" w:hAnsi="Calibri" w:cs="Calibri"/>
      <w:b/>
      <w:color w:val="328612"/>
      <w:sz w:val="26"/>
      <w:szCs w:val="26"/>
    </w:rPr>
  </w:style>
  <w:style w:type="paragraph" w:customStyle="1" w:styleId="TH-TableHeading">
    <w:name w:val="TH-Table Heading"/>
    <w:basedOn w:val="TT-TableTitle"/>
    <w:rsid w:val="005C0ED0"/>
    <w:pPr>
      <w:spacing w:before="0" w:after="0" w:line="260" w:lineRule="atLeast"/>
      <w:ind w:left="0" w:firstLine="0"/>
    </w:pPr>
    <w:rPr>
      <w:color w:val="356DA2"/>
    </w:rPr>
  </w:style>
  <w:style w:type="paragraph" w:customStyle="1" w:styleId="TF-TblFN">
    <w:name w:val="TF-Tbl FN"/>
    <w:basedOn w:val="FootnoteText"/>
    <w:rsid w:val="005C0ED0"/>
    <w:pPr>
      <w:tabs>
        <w:tab w:val="left" w:pos="120"/>
      </w:tabs>
      <w:spacing w:after="60" w:line="200" w:lineRule="atLeast"/>
      <w:ind w:left="115" w:hanging="115"/>
    </w:pPr>
    <w:rPr>
      <w:rFonts w:eastAsia="Times New Roman" w:cstheme="minorHAnsi"/>
      <w:color w:val="356DA2"/>
      <w:sz w:val="16"/>
      <w:szCs w:val="16"/>
    </w:rPr>
  </w:style>
  <w:style w:type="paragraph" w:customStyle="1" w:styleId="TS-TableSource">
    <w:name w:val="TS-Table Source"/>
    <w:basedOn w:val="TF-TblFN"/>
    <w:qFormat/>
    <w:rsid w:val="005C0ED0"/>
    <w:rPr>
      <w:color w:val="328612"/>
    </w:rPr>
  </w:style>
  <w:style w:type="paragraph" w:customStyle="1" w:styleId="TableText">
    <w:name w:val="Table Text"/>
    <w:qFormat/>
    <w:rsid w:val="005C0ED0"/>
    <w:pPr>
      <w:spacing w:after="0" w:line="260" w:lineRule="atLeast"/>
    </w:pPr>
    <w:rPr>
      <w:rFonts w:ascii="Calibri" w:eastAsia="Times New Roman" w:hAnsi="Calibri" w:cs="Times New Roman"/>
      <w:color w:val="356DA2"/>
    </w:rPr>
  </w:style>
  <w:style w:type="character" w:styleId="Hyperlink">
    <w:name w:val="Hyperlink"/>
    <w:basedOn w:val="DefaultParagraphFont"/>
    <w:uiPriority w:val="99"/>
    <w:unhideWhenUsed/>
    <w:rsid w:val="00010E0C"/>
    <w:rPr>
      <w:color w:val="0563C1" w:themeColor="hyperlink"/>
      <w:u w:val="single"/>
    </w:rPr>
  </w:style>
  <w:style w:type="character" w:customStyle="1" w:styleId="UnresolvedMention1">
    <w:name w:val="Unresolved Mention1"/>
    <w:basedOn w:val="DefaultParagraphFont"/>
    <w:uiPriority w:val="99"/>
    <w:semiHidden/>
    <w:unhideWhenUsed/>
    <w:rsid w:val="00010E0C"/>
    <w:rPr>
      <w:color w:val="605E5C"/>
      <w:shd w:val="clear" w:color="auto" w:fill="E1DFDD"/>
    </w:rPr>
  </w:style>
  <w:style w:type="paragraph" w:styleId="NormalWeb">
    <w:name w:val="Normal (Web)"/>
    <w:basedOn w:val="Normal"/>
    <w:uiPriority w:val="99"/>
    <w:semiHidden/>
    <w:unhideWhenUsed/>
    <w:rsid w:val="00FE592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5299">
      <w:bodyDiv w:val="1"/>
      <w:marLeft w:val="0"/>
      <w:marRight w:val="0"/>
      <w:marTop w:val="0"/>
      <w:marBottom w:val="0"/>
      <w:divBdr>
        <w:top w:val="none" w:sz="0" w:space="0" w:color="auto"/>
        <w:left w:val="none" w:sz="0" w:space="0" w:color="auto"/>
        <w:bottom w:val="none" w:sz="0" w:space="0" w:color="auto"/>
        <w:right w:val="none" w:sz="0" w:space="0" w:color="auto"/>
      </w:divBdr>
    </w:div>
    <w:div w:id="303393827">
      <w:bodyDiv w:val="1"/>
      <w:marLeft w:val="0"/>
      <w:marRight w:val="0"/>
      <w:marTop w:val="0"/>
      <w:marBottom w:val="0"/>
      <w:divBdr>
        <w:top w:val="none" w:sz="0" w:space="0" w:color="auto"/>
        <w:left w:val="none" w:sz="0" w:space="0" w:color="auto"/>
        <w:bottom w:val="none" w:sz="0" w:space="0" w:color="auto"/>
        <w:right w:val="none" w:sz="0" w:space="0" w:color="auto"/>
      </w:divBdr>
    </w:div>
    <w:div w:id="1441994051">
      <w:bodyDiv w:val="1"/>
      <w:marLeft w:val="0"/>
      <w:marRight w:val="0"/>
      <w:marTop w:val="0"/>
      <w:marBottom w:val="0"/>
      <w:divBdr>
        <w:top w:val="none" w:sz="0" w:space="0" w:color="auto"/>
        <w:left w:val="none" w:sz="0" w:space="0" w:color="auto"/>
        <w:bottom w:val="none" w:sz="0" w:space="0" w:color="auto"/>
        <w:right w:val="none" w:sz="0" w:space="0" w:color="auto"/>
      </w:divBdr>
      <w:divsChild>
        <w:div w:id="425006912">
          <w:marLeft w:val="720"/>
          <w:marRight w:val="0"/>
          <w:marTop w:val="0"/>
          <w:marBottom w:val="360"/>
          <w:divBdr>
            <w:top w:val="none" w:sz="0" w:space="0" w:color="auto"/>
            <w:left w:val="none" w:sz="0" w:space="0" w:color="auto"/>
            <w:bottom w:val="none" w:sz="0" w:space="0" w:color="auto"/>
            <w:right w:val="none" w:sz="0" w:space="0" w:color="auto"/>
          </w:divBdr>
        </w:div>
        <w:div w:id="252907654">
          <w:marLeft w:val="720"/>
          <w:marRight w:val="0"/>
          <w:marTop w:val="0"/>
          <w:marBottom w:val="360"/>
          <w:divBdr>
            <w:top w:val="none" w:sz="0" w:space="0" w:color="auto"/>
            <w:left w:val="none" w:sz="0" w:space="0" w:color="auto"/>
            <w:bottom w:val="none" w:sz="0" w:space="0" w:color="auto"/>
            <w:right w:val="none" w:sz="0" w:space="0" w:color="auto"/>
          </w:divBdr>
        </w:div>
        <w:div w:id="655916263">
          <w:marLeft w:val="720"/>
          <w:marRight w:val="0"/>
          <w:marTop w:val="0"/>
          <w:marBottom w:val="360"/>
          <w:divBdr>
            <w:top w:val="none" w:sz="0" w:space="0" w:color="auto"/>
            <w:left w:val="none" w:sz="0" w:space="0" w:color="auto"/>
            <w:bottom w:val="none" w:sz="0" w:space="0" w:color="auto"/>
            <w:right w:val="none" w:sz="0" w:space="0" w:color="auto"/>
          </w:divBdr>
        </w:div>
        <w:div w:id="155537312">
          <w:marLeft w:val="720"/>
          <w:marRight w:val="0"/>
          <w:marTop w:val="0"/>
          <w:marBottom w:val="360"/>
          <w:divBdr>
            <w:top w:val="none" w:sz="0" w:space="0" w:color="auto"/>
            <w:left w:val="none" w:sz="0" w:space="0" w:color="auto"/>
            <w:bottom w:val="none" w:sz="0" w:space="0" w:color="auto"/>
            <w:right w:val="none" w:sz="0" w:space="0" w:color="auto"/>
          </w:divBdr>
        </w:div>
      </w:divsChild>
    </w:div>
    <w:div w:id="1495683282">
      <w:bodyDiv w:val="1"/>
      <w:marLeft w:val="0"/>
      <w:marRight w:val="0"/>
      <w:marTop w:val="0"/>
      <w:marBottom w:val="0"/>
      <w:divBdr>
        <w:top w:val="none" w:sz="0" w:space="0" w:color="auto"/>
        <w:left w:val="none" w:sz="0" w:space="0" w:color="auto"/>
        <w:bottom w:val="none" w:sz="0" w:space="0" w:color="auto"/>
        <w:right w:val="none" w:sz="0" w:space="0" w:color="auto"/>
      </w:divBdr>
    </w:div>
    <w:div w:id="1933120463">
      <w:bodyDiv w:val="1"/>
      <w:marLeft w:val="0"/>
      <w:marRight w:val="0"/>
      <w:marTop w:val="0"/>
      <w:marBottom w:val="0"/>
      <w:divBdr>
        <w:top w:val="none" w:sz="0" w:space="0" w:color="auto"/>
        <w:left w:val="none" w:sz="0" w:space="0" w:color="auto"/>
        <w:bottom w:val="none" w:sz="0" w:space="0" w:color="auto"/>
        <w:right w:val="none" w:sz="0" w:space="0" w:color="auto"/>
      </w:divBdr>
      <w:divsChild>
        <w:div w:id="170991208">
          <w:marLeft w:val="446"/>
          <w:marRight w:val="0"/>
          <w:marTop w:val="0"/>
          <w:marBottom w:val="120"/>
          <w:divBdr>
            <w:top w:val="none" w:sz="0" w:space="0" w:color="auto"/>
            <w:left w:val="none" w:sz="0" w:space="0" w:color="auto"/>
            <w:bottom w:val="none" w:sz="0" w:space="0" w:color="auto"/>
            <w:right w:val="none" w:sz="0" w:space="0" w:color="auto"/>
          </w:divBdr>
        </w:div>
        <w:div w:id="703944413">
          <w:marLeft w:val="446"/>
          <w:marRight w:val="0"/>
          <w:marTop w:val="120"/>
          <w:marBottom w:val="0"/>
          <w:divBdr>
            <w:top w:val="none" w:sz="0" w:space="0" w:color="auto"/>
            <w:left w:val="none" w:sz="0" w:space="0" w:color="auto"/>
            <w:bottom w:val="none" w:sz="0" w:space="0" w:color="auto"/>
            <w:right w:val="none" w:sz="0" w:space="0" w:color="auto"/>
          </w:divBdr>
        </w:div>
        <w:div w:id="1471751376">
          <w:marLeft w:val="446"/>
          <w:marRight w:val="0"/>
          <w:marTop w:val="0"/>
          <w:marBottom w:val="120"/>
          <w:divBdr>
            <w:top w:val="none" w:sz="0" w:space="0" w:color="auto"/>
            <w:left w:val="none" w:sz="0" w:space="0" w:color="auto"/>
            <w:bottom w:val="none" w:sz="0" w:space="0" w:color="auto"/>
            <w:right w:val="none" w:sz="0" w:space="0" w:color="auto"/>
          </w:divBdr>
        </w:div>
        <w:div w:id="1660815387">
          <w:marLeft w:val="446"/>
          <w:marRight w:val="0"/>
          <w:marTop w:val="0"/>
          <w:marBottom w:val="120"/>
          <w:divBdr>
            <w:top w:val="none" w:sz="0" w:space="0" w:color="auto"/>
            <w:left w:val="none" w:sz="0" w:space="0" w:color="auto"/>
            <w:bottom w:val="none" w:sz="0" w:space="0" w:color="auto"/>
            <w:right w:val="none" w:sz="0" w:space="0" w:color="auto"/>
          </w:divBdr>
        </w:div>
        <w:div w:id="1805001891">
          <w:marLeft w:val="446"/>
          <w:marRight w:val="0"/>
          <w:marTop w:val="0"/>
          <w:marBottom w:val="120"/>
          <w:divBdr>
            <w:top w:val="none" w:sz="0" w:space="0" w:color="auto"/>
            <w:left w:val="none" w:sz="0" w:space="0" w:color="auto"/>
            <w:bottom w:val="none" w:sz="0" w:space="0" w:color="auto"/>
            <w:right w:val="none" w:sz="0" w:space="0" w:color="auto"/>
          </w:divBdr>
        </w:div>
      </w:divsChild>
    </w:div>
    <w:div w:id="2001929127">
      <w:bodyDiv w:val="1"/>
      <w:marLeft w:val="0"/>
      <w:marRight w:val="0"/>
      <w:marTop w:val="0"/>
      <w:marBottom w:val="0"/>
      <w:divBdr>
        <w:top w:val="none" w:sz="0" w:space="0" w:color="auto"/>
        <w:left w:val="none" w:sz="0" w:space="0" w:color="auto"/>
        <w:bottom w:val="none" w:sz="0" w:space="0" w:color="auto"/>
        <w:right w:val="none" w:sz="0" w:space="0" w:color="auto"/>
      </w:divBdr>
      <w:divsChild>
        <w:div w:id="1356928012">
          <w:marLeft w:val="720"/>
          <w:marRight w:val="0"/>
          <w:marTop w:val="0"/>
          <w:marBottom w:val="360"/>
          <w:divBdr>
            <w:top w:val="none" w:sz="0" w:space="0" w:color="auto"/>
            <w:left w:val="none" w:sz="0" w:space="0" w:color="auto"/>
            <w:bottom w:val="none" w:sz="0" w:space="0" w:color="auto"/>
            <w:right w:val="none" w:sz="0" w:space="0" w:color="auto"/>
          </w:divBdr>
        </w:div>
        <w:div w:id="724450216">
          <w:marLeft w:val="720"/>
          <w:marRight w:val="0"/>
          <w:marTop w:val="0"/>
          <w:marBottom w:val="360"/>
          <w:divBdr>
            <w:top w:val="none" w:sz="0" w:space="0" w:color="auto"/>
            <w:left w:val="none" w:sz="0" w:space="0" w:color="auto"/>
            <w:bottom w:val="none" w:sz="0" w:space="0" w:color="auto"/>
            <w:right w:val="none" w:sz="0" w:space="0" w:color="auto"/>
          </w:divBdr>
        </w:div>
        <w:div w:id="1397968502">
          <w:marLeft w:val="720"/>
          <w:marRight w:val="0"/>
          <w:marTop w:val="0"/>
          <w:marBottom w:val="360"/>
          <w:divBdr>
            <w:top w:val="none" w:sz="0" w:space="0" w:color="auto"/>
            <w:left w:val="none" w:sz="0" w:space="0" w:color="auto"/>
            <w:bottom w:val="none" w:sz="0" w:space="0" w:color="auto"/>
            <w:right w:val="none" w:sz="0" w:space="0" w:color="auto"/>
          </w:divBdr>
        </w:div>
        <w:div w:id="271786540">
          <w:marLeft w:val="72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es.ed.gov/ncee/edlabs/regions/northeast/pdf/REL_2021014.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8238421871F945A99D1EF10B9C867C" ma:contentTypeVersion="6" ma:contentTypeDescription="Create a new document." ma:contentTypeScope="" ma:versionID="9b0c50164cd1201dfe09d788f35dc09e">
  <xsd:schema xmlns:xsd="http://www.w3.org/2001/XMLSchema" xmlns:xs="http://www.w3.org/2001/XMLSchema" xmlns:p="http://schemas.microsoft.com/office/2006/metadata/properties" xmlns:ns2="4391b338-5b9c-4dc4-bc95-065b7b776b24" targetNamespace="http://schemas.microsoft.com/office/2006/metadata/properties" ma:root="true" ma:fieldsID="c2ba9c68288983a01ba8ecba3256c7b6" ns2:_="">
    <xsd:import namespace="4391b338-5b9c-4dc4-bc95-065b7b776b2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1b338-5b9c-4dc4-bc95-065b7b776b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27AEB-570C-4CB7-87EB-FE2EB4521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1b338-5b9c-4dc4-bc95-065b7b776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D7B444-C361-4DF9-A595-48FB408382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64A1DA-8F9B-4615-AE00-10C67A97FFC5}">
  <ds:schemaRefs>
    <ds:schemaRef ds:uri="http://schemas.microsoft.com/sharepoint/v3/contenttype/forms"/>
  </ds:schemaRefs>
</ds:datastoreItem>
</file>

<file path=customXml/itemProps4.xml><?xml version="1.0" encoding="utf-8"?>
<ds:datastoreItem xmlns:ds="http://schemas.openxmlformats.org/officeDocument/2006/customXml" ds:itemID="{0DD0097E-AFDF-40C0-AD65-5AFC72478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Brandt</dc:creator>
  <cp:keywords/>
  <dc:description/>
  <cp:lastModifiedBy>Ann Webber</cp:lastModifiedBy>
  <cp:revision>11</cp:revision>
  <dcterms:created xsi:type="dcterms:W3CDTF">2022-01-24T16:12:00Z</dcterms:created>
  <dcterms:modified xsi:type="dcterms:W3CDTF">2022-04-18T13:28:00Z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0x010100698238421871F945A99D1EF10B9C867C</vt:lpwstr>
  </property>
</Properties>
</file>