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661B" w14:textId="08606225" w:rsidR="001B2C88" w:rsidRPr="00C54A5C" w:rsidRDefault="001B2C88" w:rsidP="00C54A5C">
      <w:pPr>
        <w:pStyle w:val="Heading1"/>
        <w:spacing w:after="120" w:line="240" w:lineRule="atLeast"/>
        <w:jc w:val="center"/>
        <w:rPr>
          <w:sz w:val="28"/>
          <w:szCs w:val="28"/>
        </w:rPr>
      </w:pPr>
      <w:r w:rsidRPr="00C54A5C">
        <w:rPr>
          <w:sz w:val="28"/>
          <w:szCs w:val="28"/>
        </w:rPr>
        <w:t>Networked Improvement Community</w:t>
      </w:r>
      <w:r w:rsidR="00AE5B2F" w:rsidRPr="00C54A5C">
        <w:rPr>
          <w:sz w:val="28"/>
          <w:szCs w:val="28"/>
        </w:rPr>
        <w:t xml:space="preserve"> (NIC)</w:t>
      </w:r>
      <w:r w:rsidRPr="00C54A5C">
        <w:rPr>
          <w:sz w:val="28"/>
          <w:szCs w:val="28"/>
        </w:rPr>
        <w:t xml:space="preserve"> Team Structure</w:t>
      </w:r>
    </w:p>
    <w:p w14:paraId="17FEAA2E" w14:textId="77777777" w:rsidR="001B2C88" w:rsidRPr="00C54A5C" w:rsidRDefault="001B2C88" w:rsidP="00C54A5C">
      <w:pPr>
        <w:pStyle w:val="SL-FlLftSgl"/>
        <w:rPr>
          <w:rFonts w:ascii="Times New Roman" w:hAnsi="Times New Roman"/>
          <w:b/>
          <w:u w:val="single"/>
        </w:rPr>
      </w:pPr>
      <w:r w:rsidRPr="00C54A5C">
        <w:rPr>
          <w:b/>
          <w:u w:val="single"/>
        </w:rPr>
        <w:t>Three levels of learning in a NIC:</w:t>
      </w:r>
    </w:p>
    <w:p w14:paraId="0BCD02E1" w14:textId="150733FA" w:rsidR="001B2C88" w:rsidRPr="000762B7" w:rsidRDefault="001B2C88" w:rsidP="00C54A5C">
      <w:pPr>
        <w:pStyle w:val="N1-1stBullet"/>
      </w:pPr>
      <w:r w:rsidRPr="000762B7">
        <w:rPr>
          <w:b/>
          <w:bCs/>
        </w:rPr>
        <w:t>Level A</w:t>
      </w:r>
      <w:r w:rsidRPr="000762B7">
        <w:t>: Individual learning</w:t>
      </w:r>
      <w:r w:rsidR="009E4E3A">
        <w:t>.</w:t>
      </w:r>
      <w:r w:rsidR="001A4B5A" w:rsidRPr="000762B7">
        <w:t xml:space="preserve"> </w:t>
      </w:r>
      <w:r w:rsidR="009E4E3A">
        <w:t>H</w:t>
      </w:r>
      <w:r w:rsidRPr="000762B7">
        <w:t xml:space="preserve">appens as </w:t>
      </w:r>
      <w:r w:rsidR="009E4E3A">
        <w:t>a person</w:t>
      </w:r>
      <w:r w:rsidRPr="000762B7">
        <w:t xml:space="preserve"> engages in </w:t>
      </w:r>
      <w:r w:rsidR="009E4E3A">
        <w:t>their</w:t>
      </w:r>
      <w:r w:rsidRPr="000762B7">
        <w:t xml:space="preserve"> work.</w:t>
      </w:r>
      <w:bookmarkStart w:id="1" w:name="_Hlk63343210"/>
    </w:p>
    <w:bookmarkEnd w:id="1"/>
    <w:p w14:paraId="52F41F25" w14:textId="1F5DF61C" w:rsidR="001B2C88" w:rsidRPr="000762B7" w:rsidRDefault="001B2C88" w:rsidP="00C54A5C">
      <w:pPr>
        <w:pStyle w:val="N1-1stBullet"/>
      </w:pPr>
      <w:r w:rsidRPr="000762B7">
        <w:rPr>
          <w:b/>
          <w:bCs/>
        </w:rPr>
        <w:t>Level B</w:t>
      </w:r>
      <w:r w:rsidR="001A4B5A" w:rsidRPr="000762B7">
        <w:rPr>
          <w:b/>
          <w:bCs/>
        </w:rPr>
        <w:t xml:space="preserve">: </w:t>
      </w:r>
      <w:r w:rsidRPr="000762B7">
        <w:t>Organizational</w:t>
      </w:r>
      <w:r w:rsidR="001A4B5A" w:rsidRPr="000762B7">
        <w:t xml:space="preserve"> learning</w:t>
      </w:r>
      <w:r w:rsidR="009E4E3A">
        <w:t>.</w:t>
      </w:r>
      <w:r w:rsidR="001A4B5A" w:rsidRPr="000762B7">
        <w:t xml:space="preserve"> </w:t>
      </w:r>
      <w:r w:rsidR="009E4E3A">
        <w:t>H</w:t>
      </w:r>
      <w:r w:rsidRPr="000762B7">
        <w:t>appens across individuals within a workplace</w:t>
      </w:r>
      <w:r w:rsidR="001A4B5A" w:rsidRPr="000762B7">
        <w:t xml:space="preserve"> such as a school or district</w:t>
      </w:r>
      <w:r w:rsidRPr="000762B7">
        <w:t>.</w:t>
      </w:r>
    </w:p>
    <w:p w14:paraId="7A5BAB20" w14:textId="175C36D1" w:rsidR="001B2C88" w:rsidRPr="000762B7" w:rsidRDefault="001B2C88" w:rsidP="00C54A5C">
      <w:pPr>
        <w:pStyle w:val="N1-1stBullet"/>
      </w:pPr>
      <w:r w:rsidRPr="000762B7">
        <w:rPr>
          <w:b/>
          <w:bCs/>
        </w:rPr>
        <w:t>Level C</w:t>
      </w:r>
      <w:r w:rsidR="001A4B5A" w:rsidRPr="000762B7">
        <w:rPr>
          <w:b/>
          <w:bCs/>
        </w:rPr>
        <w:t xml:space="preserve">: </w:t>
      </w:r>
      <w:r w:rsidRPr="000762B7">
        <w:t>Cross-</w:t>
      </w:r>
      <w:r w:rsidR="00AF0BF1">
        <w:t>o</w:t>
      </w:r>
      <w:r w:rsidRPr="000762B7">
        <w:t>rganizational</w:t>
      </w:r>
      <w:r w:rsidR="001A4B5A" w:rsidRPr="000762B7">
        <w:t xml:space="preserve"> learning</w:t>
      </w:r>
      <w:r w:rsidR="009E4E3A">
        <w:t>.</w:t>
      </w:r>
      <w:r w:rsidR="001A4B5A" w:rsidRPr="000762B7">
        <w:t xml:space="preserve"> </w:t>
      </w:r>
      <w:r w:rsidR="009E4E3A">
        <w:t>H</w:t>
      </w:r>
      <w:r w:rsidRPr="000762B7">
        <w:t>appens</w:t>
      </w:r>
      <w:r w:rsidR="001A4B5A" w:rsidRPr="000762B7">
        <w:t xml:space="preserve"> </w:t>
      </w:r>
      <w:r w:rsidR="009E4E3A">
        <w:t>when</w:t>
      </w:r>
      <w:r w:rsidR="001A4B5A" w:rsidRPr="000762B7">
        <w:t xml:space="preserve"> organizations</w:t>
      </w:r>
      <w:r w:rsidR="009E4E3A">
        <w:t>, such as schools or districts, learn from one another</w:t>
      </w:r>
    </w:p>
    <w:p w14:paraId="29C0DEEA" w14:textId="77777777" w:rsidR="001B2C88" w:rsidRPr="000762B7" w:rsidRDefault="001B2C88" w:rsidP="001B2C88">
      <w:pPr>
        <w:rPr>
          <w:rFonts w:ascii="Times New Roman" w:eastAsia="Times New Roman" w:hAnsi="Times New Roman" w:cs="Times New Roman"/>
        </w:rPr>
      </w:pPr>
    </w:p>
    <w:p w14:paraId="67348D40" w14:textId="16A7F904" w:rsidR="001B2C88" w:rsidRDefault="001B2C88" w:rsidP="00C54A5C">
      <w:pPr>
        <w:pStyle w:val="SL-FlLftSgl"/>
      </w:pPr>
      <w:r w:rsidRPr="000762B7">
        <w:rPr>
          <w:b/>
          <w:bCs/>
        </w:rPr>
        <w:t>Level C</w:t>
      </w:r>
      <w:r w:rsidRPr="000762B7">
        <w:t xml:space="preserve"> learning rapidly increases the social learning process when Levels A and B are actively engaged.</w:t>
      </w:r>
    </w:p>
    <w:p w14:paraId="4508D4A9" w14:textId="6BBA9319" w:rsidR="0052186E" w:rsidRPr="0052186E" w:rsidRDefault="0052186E" w:rsidP="0052186E">
      <w:pPr>
        <w:pStyle w:val="Heading3"/>
        <w:jc w:val="center"/>
        <w:rPr>
          <w:sz w:val="28"/>
        </w:rPr>
      </w:pPr>
      <w:r w:rsidRPr="0052186E">
        <w:rPr>
          <w:sz w:val="28"/>
        </w:rPr>
        <w:t>Improvement Networks: Accelerate Learning in Practice for Improvement</w:t>
      </w:r>
    </w:p>
    <w:p w14:paraId="661BACB6" w14:textId="2448C33C" w:rsidR="001B2C88" w:rsidRPr="001B2C88" w:rsidRDefault="0052186E" w:rsidP="001B2C88">
      <w:pPr>
        <w:jc w:val="center"/>
        <w:rPr>
          <w:rFonts w:ascii="Times New Roman" w:eastAsia="Times New Roman" w:hAnsi="Times New Roman" w:cs="Times New Roman"/>
        </w:rPr>
      </w:pPr>
      <w:r w:rsidRPr="0052186E">
        <w:rPr>
          <w:rFonts w:ascii="Times New Roman" w:eastAsia="Times New Roman" w:hAnsi="Times New Roman" w:cs="Times New Roman"/>
          <w:noProof/>
        </w:rPr>
        <w:drawing>
          <wp:inline distT="0" distB="0" distL="0" distR="0" wp14:anchorId="16768D12" wp14:editId="53F95682">
            <wp:extent cx="2936421" cy="2635250"/>
            <wp:effectExtent l="0" t="0" r="0" b="0"/>
            <wp:docPr id="1026" name="Picture 2">
              <a:extLst xmlns:a="http://schemas.openxmlformats.org/drawingml/2006/main">
                <a:ext uri="{FF2B5EF4-FFF2-40B4-BE49-F238E27FC236}">
                  <a16:creationId xmlns:a16="http://schemas.microsoft.com/office/drawing/2014/main" id="{9FC12253-9420-B7C5-02FA-8BD3590A4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9FC12253-9420-B7C5-02FA-8BD3590A446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0960" cy="2666247"/>
                    </a:xfrm>
                    <a:prstGeom prst="rect">
                      <a:avLst/>
                    </a:prstGeom>
                    <a:noFill/>
                    <a:extLst/>
                  </pic:spPr>
                </pic:pic>
              </a:graphicData>
            </a:graphic>
          </wp:inline>
        </w:drawing>
      </w:r>
    </w:p>
    <w:p w14:paraId="77477DFD" w14:textId="77777777" w:rsidR="00C54A5C" w:rsidRDefault="00C54A5C">
      <w:pPr>
        <w:spacing w:after="160" w:line="259" w:lineRule="auto"/>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14:paraId="5BE98E1B" w14:textId="3E1CF09D" w:rsidR="001B2C88" w:rsidRPr="00C54A5C" w:rsidRDefault="001A4B5A" w:rsidP="00C54A5C">
      <w:pPr>
        <w:pStyle w:val="Heading1"/>
        <w:spacing w:after="120" w:line="240" w:lineRule="atLeast"/>
        <w:jc w:val="center"/>
        <w:rPr>
          <w:sz w:val="28"/>
          <w:szCs w:val="28"/>
        </w:rPr>
      </w:pPr>
      <w:r w:rsidRPr="00C54A5C">
        <w:rPr>
          <w:sz w:val="28"/>
          <w:szCs w:val="28"/>
        </w:rPr>
        <w:lastRenderedPageBreak/>
        <w:t>Networked Improvement Communit</w:t>
      </w:r>
      <w:r w:rsidR="006C0FB9" w:rsidRPr="00C54A5C">
        <w:rPr>
          <w:sz w:val="28"/>
          <w:szCs w:val="28"/>
        </w:rPr>
        <w:t>y:</w:t>
      </w:r>
      <w:r w:rsidRPr="00C54A5C">
        <w:rPr>
          <w:sz w:val="28"/>
          <w:szCs w:val="28"/>
        </w:rPr>
        <w:t xml:space="preserve"> </w:t>
      </w:r>
      <w:r w:rsidR="006C0FB9" w:rsidRPr="00C54A5C">
        <w:rPr>
          <w:sz w:val="28"/>
          <w:szCs w:val="28"/>
        </w:rPr>
        <w:t>Role Descriptions</w:t>
      </w:r>
    </w:p>
    <w:tbl>
      <w:tblPr>
        <w:tblW w:w="0" w:type="auto"/>
        <w:tblCellMar>
          <w:top w:w="15" w:type="dxa"/>
          <w:left w:w="15" w:type="dxa"/>
          <w:bottom w:w="15" w:type="dxa"/>
          <w:right w:w="15" w:type="dxa"/>
        </w:tblCellMar>
        <w:tblLook w:val="04A0" w:firstRow="1" w:lastRow="0" w:firstColumn="1" w:lastColumn="0" w:noHBand="0" w:noVBand="1"/>
      </w:tblPr>
      <w:tblGrid>
        <w:gridCol w:w="1592"/>
        <w:gridCol w:w="3780"/>
        <w:gridCol w:w="3810"/>
        <w:gridCol w:w="3778"/>
      </w:tblGrid>
      <w:tr w:rsidR="001B2C88" w:rsidRPr="001B2C88" w14:paraId="7CB6DE63" w14:textId="77777777" w:rsidTr="00C54A5C">
        <w:trPr>
          <w:trHeight w:val="20"/>
          <w:tblHeader/>
        </w:trPr>
        <w:tc>
          <w:tcPr>
            <w:tcW w:w="0" w:type="auto"/>
            <w:gridSpan w:val="4"/>
            <w:shd w:val="clear" w:color="auto" w:fill="356DA2"/>
            <w:tcMar>
              <w:top w:w="100" w:type="dxa"/>
              <w:left w:w="100" w:type="dxa"/>
              <w:bottom w:w="100" w:type="dxa"/>
              <w:right w:w="100" w:type="dxa"/>
            </w:tcMar>
            <w:hideMark/>
          </w:tcPr>
          <w:p w14:paraId="29FD7D26" w14:textId="483648C5" w:rsidR="001B2C88" w:rsidRPr="001B2C88" w:rsidRDefault="001B2C88" w:rsidP="00C54A5C">
            <w:pPr>
              <w:spacing w:line="240" w:lineRule="atLeast"/>
              <w:rPr>
                <w:rFonts w:ascii="Times New Roman" w:eastAsia="Times New Roman" w:hAnsi="Times New Roman" w:cs="Times New Roman"/>
              </w:rPr>
            </w:pPr>
            <w:r w:rsidRPr="001B2C88">
              <w:rPr>
                <w:rFonts w:ascii="Arial" w:eastAsia="Times New Roman" w:hAnsi="Arial" w:cs="Arial"/>
                <w:b/>
                <w:bCs/>
                <w:color w:val="FFFFFF"/>
              </w:rPr>
              <w:t xml:space="preserve">Problem Statement: </w:t>
            </w:r>
            <w:r w:rsidR="00161691" w:rsidRPr="00C54A5C">
              <w:rPr>
                <w:rFonts w:ascii="Arial" w:eastAsia="Times New Roman" w:hAnsi="Arial" w:cs="Arial"/>
                <w:color w:val="FF0000"/>
              </w:rPr>
              <w:t>[Enter Problem Statement Here]</w:t>
            </w:r>
          </w:p>
        </w:tc>
      </w:tr>
      <w:tr w:rsidR="00957AC4" w:rsidRPr="001B2C88" w14:paraId="60344EBF" w14:textId="77777777" w:rsidTr="00C54A5C">
        <w:trPr>
          <w:trHeight w:val="20"/>
          <w:tblHeader/>
        </w:trPr>
        <w:tc>
          <w:tcPr>
            <w:tcW w:w="0" w:type="auto"/>
            <w:shd w:val="clear" w:color="auto" w:fill="328612"/>
            <w:tcMar>
              <w:top w:w="100" w:type="dxa"/>
              <w:left w:w="100" w:type="dxa"/>
              <w:bottom w:w="100" w:type="dxa"/>
              <w:right w:w="100" w:type="dxa"/>
            </w:tcMar>
            <w:hideMark/>
          </w:tcPr>
          <w:p w14:paraId="0E7E7607" w14:textId="2B8DAAD1" w:rsidR="001B2C88" w:rsidRPr="00CE59A7" w:rsidRDefault="00CE59A7" w:rsidP="00C54A5C">
            <w:pPr>
              <w:spacing w:line="240" w:lineRule="atLeast"/>
              <w:jc w:val="center"/>
              <w:rPr>
                <w:rFonts w:ascii="Arial" w:eastAsia="Times New Roman" w:hAnsi="Arial" w:cs="Arial"/>
                <w:b/>
                <w:bCs/>
                <w:sz w:val="20"/>
                <w:szCs w:val="20"/>
              </w:rPr>
            </w:pPr>
            <w:r w:rsidRPr="00CE59A7">
              <w:rPr>
                <w:rFonts w:ascii="Arial" w:eastAsia="Times New Roman" w:hAnsi="Arial" w:cs="Arial"/>
                <w:b/>
                <w:bCs/>
                <w:color w:val="FFFFFF" w:themeColor="background1"/>
                <w:sz w:val="20"/>
                <w:szCs w:val="20"/>
              </w:rPr>
              <w:t>Role</w:t>
            </w:r>
          </w:p>
        </w:tc>
        <w:tc>
          <w:tcPr>
            <w:tcW w:w="3866" w:type="dxa"/>
            <w:shd w:val="clear" w:color="auto" w:fill="328612"/>
            <w:tcMar>
              <w:top w:w="100" w:type="dxa"/>
              <w:left w:w="100" w:type="dxa"/>
              <w:bottom w:w="100" w:type="dxa"/>
              <w:right w:w="100" w:type="dxa"/>
            </w:tcMar>
            <w:hideMark/>
          </w:tcPr>
          <w:p w14:paraId="248299F9" w14:textId="77777777" w:rsidR="001B2C88" w:rsidRPr="00CE59A7" w:rsidRDefault="001B2C88" w:rsidP="00C54A5C">
            <w:pPr>
              <w:spacing w:after="40" w:line="240" w:lineRule="atLeast"/>
              <w:jc w:val="center"/>
              <w:rPr>
                <w:rFonts w:ascii="Arial" w:eastAsia="Times New Roman" w:hAnsi="Arial" w:cs="Arial"/>
                <w:sz w:val="20"/>
                <w:szCs w:val="20"/>
              </w:rPr>
            </w:pPr>
            <w:r w:rsidRPr="00CE59A7">
              <w:rPr>
                <w:rFonts w:ascii="Arial" w:eastAsia="Times New Roman" w:hAnsi="Arial" w:cs="Arial"/>
                <w:b/>
                <w:bCs/>
                <w:color w:val="FFFFFF"/>
                <w:sz w:val="20"/>
                <w:szCs w:val="20"/>
              </w:rPr>
              <w:t>Description</w:t>
            </w:r>
          </w:p>
        </w:tc>
        <w:tc>
          <w:tcPr>
            <w:tcW w:w="3867" w:type="dxa"/>
            <w:shd w:val="clear" w:color="auto" w:fill="328612"/>
            <w:tcMar>
              <w:top w:w="100" w:type="dxa"/>
              <w:left w:w="100" w:type="dxa"/>
              <w:bottom w:w="100" w:type="dxa"/>
              <w:right w:w="100" w:type="dxa"/>
            </w:tcMar>
            <w:hideMark/>
          </w:tcPr>
          <w:p w14:paraId="4159BE79" w14:textId="07471DE8" w:rsidR="001B2C88" w:rsidRPr="001B2C88" w:rsidRDefault="001B2C88" w:rsidP="00C54A5C">
            <w:pPr>
              <w:spacing w:after="40" w:line="240" w:lineRule="atLeast"/>
              <w:jc w:val="center"/>
              <w:rPr>
                <w:rFonts w:ascii="Times New Roman" w:eastAsia="Times New Roman" w:hAnsi="Times New Roman" w:cs="Times New Roman"/>
              </w:rPr>
            </w:pPr>
            <w:r w:rsidRPr="001B2C88">
              <w:rPr>
                <w:rFonts w:ascii="Arial" w:eastAsia="Times New Roman" w:hAnsi="Arial" w:cs="Arial"/>
                <w:b/>
                <w:bCs/>
                <w:color w:val="FFFFFF"/>
                <w:sz w:val="20"/>
                <w:szCs w:val="20"/>
              </w:rPr>
              <w:t>Responsibilities/Tasks</w:t>
            </w:r>
          </w:p>
        </w:tc>
        <w:tc>
          <w:tcPr>
            <w:tcW w:w="3867" w:type="dxa"/>
            <w:shd w:val="clear" w:color="auto" w:fill="328612"/>
            <w:tcMar>
              <w:top w:w="100" w:type="dxa"/>
              <w:left w:w="100" w:type="dxa"/>
              <w:bottom w:w="100" w:type="dxa"/>
              <w:right w:w="100" w:type="dxa"/>
            </w:tcMar>
            <w:hideMark/>
          </w:tcPr>
          <w:p w14:paraId="2AECF9B5" w14:textId="77777777" w:rsidR="001B2C88" w:rsidRPr="001B2C88" w:rsidRDefault="001B2C88" w:rsidP="00C54A5C">
            <w:pPr>
              <w:spacing w:after="40" w:line="240" w:lineRule="atLeast"/>
              <w:jc w:val="center"/>
              <w:rPr>
                <w:rFonts w:ascii="Times New Roman" w:eastAsia="Times New Roman" w:hAnsi="Times New Roman" w:cs="Times New Roman"/>
              </w:rPr>
            </w:pPr>
            <w:r w:rsidRPr="001B2C88">
              <w:rPr>
                <w:rFonts w:ascii="Arial" w:eastAsia="Times New Roman" w:hAnsi="Arial" w:cs="Arial"/>
                <w:b/>
                <w:bCs/>
                <w:color w:val="FFFFFF"/>
                <w:sz w:val="20"/>
                <w:szCs w:val="20"/>
              </w:rPr>
              <w:t>Competencies</w:t>
            </w:r>
          </w:p>
        </w:tc>
      </w:tr>
      <w:tr w:rsidR="00957AC4" w:rsidRPr="001B2C88" w14:paraId="5F3AC93B" w14:textId="77777777" w:rsidTr="00C54A5C">
        <w:trPr>
          <w:trHeight w:val="20"/>
        </w:trPr>
        <w:tc>
          <w:tcPr>
            <w:tcW w:w="0" w:type="auto"/>
            <w:tcBorders>
              <w:right w:val="single" w:sz="4" w:space="0" w:color="328612"/>
            </w:tcBorders>
            <w:tcMar>
              <w:top w:w="100" w:type="dxa"/>
              <w:left w:w="100" w:type="dxa"/>
              <w:bottom w:w="100" w:type="dxa"/>
              <w:right w:w="100" w:type="dxa"/>
            </w:tcMar>
            <w:hideMark/>
          </w:tcPr>
          <w:p w14:paraId="51BDE5DA" w14:textId="7819E5B8" w:rsidR="001B2C88" w:rsidRPr="00C54A5C" w:rsidRDefault="009951F8" w:rsidP="00C54A5C">
            <w:pPr>
              <w:pStyle w:val="SL-FlLftSgl"/>
              <w:spacing w:after="0" w:line="240" w:lineRule="atLeast"/>
              <w:rPr>
                <w:b/>
              </w:rPr>
            </w:pPr>
            <w:r>
              <w:rPr>
                <w:b/>
              </w:rPr>
              <w:t>Project</w:t>
            </w:r>
            <w:r w:rsidR="00CE59A7" w:rsidRPr="00C54A5C">
              <w:rPr>
                <w:b/>
              </w:rPr>
              <w:t xml:space="preserve"> </w:t>
            </w:r>
            <w:r w:rsidR="001B2C88" w:rsidRPr="00C54A5C">
              <w:rPr>
                <w:b/>
              </w:rPr>
              <w:t>Champion</w:t>
            </w:r>
            <w:r>
              <w:rPr>
                <w:b/>
              </w:rPr>
              <w:t>(s)</w:t>
            </w:r>
          </w:p>
          <w:p w14:paraId="7AB00DC9" w14:textId="4F0DD90C" w:rsidR="00E17428" w:rsidRPr="002662D1" w:rsidRDefault="00E17428" w:rsidP="00C54A5C">
            <w:pPr>
              <w:spacing w:line="240" w:lineRule="atLeast"/>
              <w:rPr>
                <w:rFonts w:ascii="Cambria" w:eastAsia="Times New Roman" w:hAnsi="Cambria" w:cs="Times New Roman"/>
              </w:rPr>
            </w:pPr>
          </w:p>
          <w:p w14:paraId="614C731B" w14:textId="537A4895" w:rsidR="00E17428" w:rsidRPr="002662D1" w:rsidRDefault="009C22D3" w:rsidP="00C54A5C">
            <w:pPr>
              <w:spacing w:line="240" w:lineRule="atLeast"/>
              <w:rPr>
                <w:rFonts w:ascii="Cambria" w:eastAsia="Times New Roman" w:hAnsi="Cambria" w:cs="Times New Roman"/>
              </w:rPr>
            </w:pPr>
            <w:r w:rsidRPr="002662D1">
              <w:rPr>
                <w:rFonts w:ascii="Cambria" w:eastAsia="Times New Roman" w:hAnsi="Cambria" w:cs="Arial"/>
                <w:color w:val="FF0000"/>
                <w:sz w:val="20"/>
                <w:szCs w:val="20"/>
              </w:rPr>
              <w:t>[</w:t>
            </w:r>
            <w:r w:rsidR="00E17428" w:rsidRPr="002662D1">
              <w:rPr>
                <w:rFonts w:ascii="Cambria" w:eastAsia="Times New Roman" w:hAnsi="Cambria" w:cs="Arial"/>
                <w:color w:val="FF0000"/>
                <w:sz w:val="20"/>
                <w:szCs w:val="20"/>
              </w:rPr>
              <w:t>Insert Name and Affiliation</w:t>
            </w:r>
            <w:r w:rsidRPr="002662D1">
              <w:rPr>
                <w:rFonts w:ascii="Cambria" w:eastAsia="Times New Roman" w:hAnsi="Cambria" w:cs="Arial"/>
                <w:color w:val="FF0000"/>
                <w:sz w:val="20"/>
                <w:szCs w:val="20"/>
              </w:rPr>
              <w:t>]</w:t>
            </w:r>
          </w:p>
          <w:p w14:paraId="7D27CEAF" w14:textId="076D8FA2" w:rsidR="001B2C88" w:rsidRPr="001B2C88" w:rsidRDefault="001B2C88" w:rsidP="00C54A5C">
            <w:pPr>
              <w:spacing w:line="240" w:lineRule="atLeast"/>
              <w:rPr>
                <w:rFonts w:ascii="Times New Roman" w:eastAsia="Times New Roman" w:hAnsi="Times New Roman" w:cs="Times New Roman"/>
              </w:rPr>
            </w:pPr>
          </w:p>
        </w:tc>
        <w:tc>
          <w:tcPr>
            <w:tcW w:w="3866" w:type="dxa"/>
            <w:tcBorders>
              <w:left w:val="single" w:sz="4" w:space="0" w:color="328612"/>
              <w:right w:val="single" w:sz="4" w:space="0" w:color="328612"/>
            </w:tcBorders>
            <w:tcMar>
              <w:top w:w="100" w:type="dxa"/>
              <w:left w:w="100" w:type="dxa"/>
              <w:bottom w:w="100" w:type="dxa"/>
              <w:right w:w="100" w:type="dxa"/>
            </w:tcMar>
            <w:hideMark/>
          </w:tcPr>
          <w:p w14:paraId="4F3E6996" w14:textId="09F5E3BF" w:rsidR="00CE59A7" w:rsidRDefault="00CE59A7" w:rsidP="00C54A5C">
            <w:pPr>
              <w:pStyle w:val="SL-FlLftSgl"/>
              <w:spacing w:after="90" w:line="240" w:lineRule="atLeast"/>
            </w:pPr>
            <w:r>
              <w:t xml:space="preserve">The </w:t>
            </w:r>
            <w:r w:rsidR="009951F8">
              <w:t>project champions are the leaders and key decisionmakers behind the NIC.</w:t>
            </w:r>
            <w:r>
              <w:t xml:space="preserve"> </w:t>
            </w:r>
            <w:r w:rsidR="00F57B4D">
              <w:t xml:space="preserve">The </w:t>
            </w:r>
            <w:r w:rsidR="009951F8">
              <w:t xml:space="preserve">project </w:t>
            </w:r>
            <w:r w:rsidR="00F57B4D">
              <w:t>champion</w:t>
            </w:r>
            <w:r w:rsidR="009419A4">
              <w:t xml:space="preserve"> </w:t>
            </w:r>
            <w:r w:rsidR="009951F8">
              <w:t>has the power to commit resources to the project; helps recruit participants and advocate for ensuring the NIC process; and, assumes primary accountability for ensuring the success of the project.</w:t>
            </w:r>
            <w:r>
              <w:t xml:space="preserve"> The </w:t>
            </w:r>
            <w:r w:rsidR="009951F8">
              <w:t xml:space="preserve">project </w:t>
            </w:r>
            <w:r>
              <w:t>champion</w:t>
            </w:r>
            <w:r w:rsidR="00F57B4D">
              <w:t xml:space="preserve"> also</w:t>
            </w:r>
            <w:r>
              <w:t xml:space="preserve"> </w:t>
            </w:r>
            <w:r w:rsidR="009419A4">
              <w:t xml:space="preserve">facilitates regular </w:t>
            </w:r>
            <w:r w:rsidR="0026461C">
              <w:t xml:space="preserve">NIC </w:t>
            </w:r>
            <w:r w:rsidR="009419A4">
              <w:t xml:space="preserve">meetings </w:t>
            </w:r>
            <w:r w:rsidR="0026461C">
              <w:t>and</w:t>
            </w:r>
            <w:r w:rsidR="00F57B4D">
              <w:t xml:space="preserve"> ensures the NIC’s long-term sustainability</w:t>
            </w:r>
            <w:r w:rsidR="009419A4">
              <w:t>.</w:t>
            </w:r>
          </w:p>
          <w:p w14:paraId="392EC794" w14:textId="3DD96AA0" w:rsidR="009951F8" w:rsidRDefault="009951F8" w:rsidP="00C54A5C">
            <w:pPr>
              <w:pStyle w:val="SL-FlLftSgl"/>
              <w:spacing w:after="90" w:line="240" w:lineRule="atLeast"/>
            </w:pPr>
          </w:p>
          <w:p w14:paraId="42D1A012" w14:textId="1973C30D" w:rsidR="009951F8" w:rsidRPr="009951F8" w:rsidRDefault="009951F8" w:rsidP="009951F8">
            <w:pPr>
              <w:pStyle w:val="SL-FlLftSgl"/>
              <w:spacing w:after="90" w:line="240" w:lineRule="atLeast"/>
            </w:pPr>
            <w:r w:rsidRPr="009951F8">
              <w:t>There can be more than one project champion, especially when there is more than one agency/organization involved.</w:t>
            </w:r>
            <w:r>
              <w:t xml:space="preserve"> </w:t>
            </w:r>
            <w:r w:rsidRPr="009951F8">
              <w:t>Regardless of the number of champions, one person should have final decisionmaking authority to support the NIC.</w:t>
            </w:r>
          </w:p>
          <w:p w14:paraId="58DC4FE5" w14:textId="77777777" w:rsidR="009951F8" w:rsidRDefault="009951F8" w:rsidP="00C54A5C">
            <w:pPr>
              <w:pStyle w:val="SL-FlLftSgl"/>
              <w:spacing w:after="90" w:line="240" w:lineRule="atLeast"/>
            </w:pPr>
          </w:p>
          <w:p w14:paraId="589B9D35" w14:textId="77777777" w:rsidR="001B2C88" w:rsidRPr="001B2C88" w:rsidRDefault="001B2C88" w:rsidP="00C54A5C">
            <w:pPr>
              <w:spacing w:after="40" w:line="240" w:lineRule="atLeast"/>
              <w:rPr>
                <w:rFonts w:ascii="Times New Roman" w:eastAsia="Times New Roman" w:hAnsi="Times New Roman" w:cs="Times New Roman"/>
              </w:rPr>
            </w:pPr>
          </w:p>
        </w:tc>
        <w:tc>
          <w:tcPr>
            <w:tcW w:w="3867" w:type="dxa"/>
            <w:tcBorders>
              <w:left w:val="single" w:sz="4" w:space="0" w:color="328612"/>
              <w:right w:val="single" w:sz="4" w:space="0" w:color="328612"/>
            </w:tcBorders>
            <w:tcMar>
              <w:top w:w="100" w:type="dxa"/>
              <w:left w:w="100" w:type="dxa"/>
              <w:bottom w:w="100" w:type="dxa"/>
              <w:right w:w="100" w:type="dxa"/>
            </w:tcMar>
            <w:hideMark/>
          </w:tcPr>
          <w:p w14:paraId="5AA00C7A" w14:textId="138748E1" w:rsidR="0026461C" w:rsidRDefault="0026461C" w:rsidP="008E7E4B">
            <w:pPr>
              <w:pStyle w:val="N1-1stBullet"/>
              <w:spacing w:after="0" w:line="240" w:lineRule="atLeast"/>
            </w:pPr>
            <w:r>
              <w:t>Provides leadership and strategic direction for the NIC.</w:t>
            </w:r>
          </w:p>
          <w:p w14:paraId="64EACDA6" w14:textId="40E6CAF2" w:rsidR="001B2C88" w:rsidRPr="001B2C88" w:rsidRDefault="001B2C88" w:rsidP="008E7E4B">
            <w:pPr>
              <w:pStyle w:val="N1-1stBullet"/>
              <w:spacing w:after="0" w:line="240" w:lineRule="atLeast"/>
            </w:pPr>
            <w:r w:rsidRPr="001B2C88">
              <w:t xml:space="preserve">Identifies key staff to </w:t>
            </w:r>
            <w:r w:rsidR="0026461C">
              <w:t xml:space="preserve">serve on the NIC’s </w:t>
            </w:r>
            <w:r w:rsidR="002C2BFA">
              <w:t>Improvement Hub</w:t>
            </w:r>
            <w:r w:rsidR="00957AC4">
              <w:t>.</w:t>
            </w:r>
          </w:p>
          <w:p w14:paraId="1EE044FB" w14:textId="7771026E" w:rsidR="001B2C88" w:rsidRDefault="0026461C" w:rsidP="008E7E4B">
            <w:pPr>
              <w:pStyle w:val="N1-1stBullet"/>
              <w:spacing w:after="0" w:line="240" w:lineRule="atLeast"/>
            </w:pPr>
            <w:r>
              <w:t xml:space="preserve">Works with </w:t>
            </w:r>
            <w:r w:rsidR="002C2BFA">
              <w:t>improvement hub</w:t>
            </w:r>
            <w:r>
              <w:t xml:space="preserve"> members to develop</w:t>
            </w:r>
            <w:r w:rsidR="001B2C88" w:rsidRPr="001B2C88">
              <w:t xml:space="preserve"> key competencies for</w:t>
            </w:r>
            <w:r>
              <w:t xml:space="preserve"> NIC</w:t>
            </w:r>
            <w:r w:rsidR="001B2C88" w:rsidRPr="001B2C88">
              <w:t xml:space="preserve"> participant</w:t>
            </w:r>
            <w:r>
              <w:t>s within pilot sites.</w:t>
            </w:r>
          </w:p>
          <w:p w14:paraId="4879AF4A" w14:textId="188E55BE" w:rsidR="0026461C" w:rsidRPr="001B2C88" w:rsidRDefault="0026461C" w:rsidP="008E7E4B">
            <w:pPr>
              <w:pStyle w:val="N1-1stBullet"/>
              <w:spacing w:after="0" w:line="240" w:lineRule="atLeast"/>
            </w:pPr>
            <w:r w:rsidRPr="001B2C88">
              <w:t>Builds connections across agencies and staff to strengthen the NIC</w:t>
            </w:r>
            <w:r w:rsidR="005035AB">
              <w:t>’</w:t>
            </w:r>
            <w:r w:rsidRPr="001B2C88">
              <w:t>s expert and relational core</w:t>
            </w:r>
            <w:r>
              <w:t>.</w:t>
            </w:r>
          </w:p>
          <w:p w14:paraId="1CC30556" w14:textId="3975E0E8" w:rsidR="001B2C88" w:rsidRPr="001B2C88" w:rsidRDefault="0026461C" w:rsidP="008E7E4B">
            <w:pPr>
              <w:pStyle w:val="N1-1stBullet"/>
              <w:spacing w:after="0" w:line="240" w:lineRule="atLeast"/>
            </w:pPr>
            <w:r>
              <w:t>Works with the leadership team to recruit NIC pilot sites and participants.</w:t>
            </w:r>
          </w:p>
          <w:p w14:paraId="00B077E8" w14:textId="34633068" w:rsidR="001B2C88" w:rsidRPr="001B2C88" w:rsidRDefault="0026461C" w:rsidP="008E7E4B">
            <w:pPr>
              <w:pStyle w:val="N1-1stBullet"/>
              <w:spacing w:after="0" w:line="240" w:lineRule="atLeast"/>
            </w:pPr>
            <w:r>
              <w:t>Facilitates regular NIC meetings and guides improvement efforts</w:t>
            </w:r>
            <w:r w:rsidR="00957AC4">
              <w:t>.</w:t>
            </w:r>
          </w:p>
          <w:p w14:paraId="229A2CBB" w14:textId="4DBC1999" w:rsidR="001B2C88" w:rsidRDefault="0026461C" w:rsidP="008E7E4B">
            <w:pPr>
              <w:pStyle w:val="N1-1stBullet"/>
              <w:spacing w:after="0" w:line="240" w:lineRule="atLeast"/>
            </w:pPr>
            <w:r>
              <w:t>Oversees development and communication of the</w:t>
            </w:r>
            <w:r w:rsidR="001B2C88" w:rsidRPr="001B2C88">
              <w:t xml:space="preserve"> </w:t>
            </w:r>
            <w:r>
              <w:t xml:space="preserve">NIC’s </w:t>
            </w:r>
            <w:r w:rsidR="001B2C88" w:rsidRPr="001B2C88">
              <w:t>vision, aims, and</w:t>
            </w:r>
            <w:r>
              <w:t xml:space="preserve"> ongoing</w:t>
            </w:r>
            <w:r w:rsidR="001B2C88" w:rsidRPr="001B2C88">
              <w:t xml:space="preserve"> progress</w:t>
            </w:r>
            <w:r>
              <w:t>.</w:t>
            </w:r>
          </w:p>
          <w:p w14:paraId="5682F7C4" w14:textId="45EDF303" w:rsidR="001B2C88" w:rsidRPr="0026461C" w:rsidRDefault="0026461C" w:rsidP="008E7E4B">
            <w:pPr>
              <w:pStyle w:val="N1-1stBullet"/>
              <w:spacing w:after="0" w:line="240" w:lineRule="atLeast"/>
            </w:pPr>
            <w:r>
              <w:t>Secures</w:t>
            </w:r>
            <w:r w:rsidR="001B2C88" w:rsidRPr="001B2C88">
              <w:t xml:space="preserve"> resources (e.g., human, monetary) to support the improvement effort</w:t>
            </w:r>
            <w:r w:rsidR="00957AC4">
              <w:t>.</w:t>
            </w:r>
          </w:p>
        </w:tc>
        <w:tc>
          <w:tcPr>
            <w:tcW w:w="3867" w:type="dxa"/>
            <w:tcBorders>
              <w:left w:val="single" w:sz="4" w:space="0" w:color="328612"/>
            </w:tcBorders>
            <w:tcMar>
              <w:top w:w="100" w:type="dxa"/>
              <w:left w:w="100" w:type="dxa"/>
              <w:bottom w:w="100" w:type="dxa"/>
              <w:right w:w="100" w:type="dxa"/>
            </w:tcMar>
            <w:hideMark/>
          </w:tcPr>
          <w:p w14:paraId="77C58BD9" w14:textId="7A41E817" w:rsidR="00BC32A5" w:rsidRDefault="00BC32A5" w:rsidP="008E7E4B">
            <w:pPr>
              <w:pStyle w:val="N1-1stBullet"/>
              <w:spacing w:after="0" w:line="240" w:lineRule="atLeast"/>
            </w:pPr>
            <w:r>
              <w:t>Ability to lead a large and diverse group of decisionmakers.</w:t>
            </w:r>
          </w:p>
          <w:p w14:paraId="47F03A54" w14:textId="04A5468A" w:rsidR="00BC32A5" w:rsidRDefault="00BC32A5" w:rsidP="008E7E4B">
            <w:pPr>
              <w:pStyle w:val="N1-1stBullet"/>
              <w:spacing w:after="0" w:line="240" w:lineRule="atLeast"/>
            </w:pPr>
            <w:r>
              <w:t>Skilled at facilitating groups and building</w:t>
            </w:r>
            <w:r w:rsidR="001413B6">
              <w:t xml:space="preserve"> </w:t>
            </w:r>
            <w:r>
              <w:t>consensus among individuals with varying ideas and expertise.</w:t>
            </w:r>
          </w:p>
          <w:p w14:paraId="79680C5A" w14:textId="789003D7" w:rsidR="001B2C88" w:rsidRPr="001B2C88" w:rsidRDefault="001B2C88" w:rsidP="008E7E4B">
            <w:pPr>
              <w:pStyle w:val="N1-1stBullet"/>
              <w:spacing w:after="0" w:line="240" w:lineRule="atLeast"/>
            </w:pPr>
            <w:r w:rsidRPr="001B2C88">
              <w:t>Ability and commitment to secure resources necessary to sustain the improvement effort.</w:t>
            </w:r>
          </w:p>
          <w:p w14:paraId="27AEE1AB" w14:textId="0D753975" w:rsidR="001B2C88" w:rsidRPr="00AF4AE6" w:rsidRDefault="001B2C88" w:rsidP="008E7E4B">
            <w:pPr>
              <w:pStyle w:val="N1-1stBullet"/>
              <w:spacing w:after="0" w:line="240" w:lineRule="atLeast"/>
            </w:pPr>
            <w:r w:rsidRPr="001B2C88">
              <w:t>Deep experience and understanding of the</w:t>
            </w:r>
            <w:r w:rsidR="00AF4AE6">
              <w:t xml:space="preserve"> NIC sponsoring organization’s (e.g.,</w:t>
            </w:r>
            <w:r w:rsidR="002662D1">
              <w:t> </w:t>
            </w:r>
            <w:r w:rsidR="00AF4AE6">
              <w:t xml:space="preserve">state agency, district) </w:t>
            </w:r>
            <w:r w:rsidRPr="00AF4AE6">
              <w:t>inner workings</w:t>
            </w:r>
            <w:r w:rsidR="00AF4AE6">
              <w:t>, including culture and politics.</w:t>
            </w:r>
          </w:p>
          <w:p w14:paraId="7B141218" w14:textId="3E0B9375" w:rsidR="001B2C88" w:rsidRPr="001B2C88" w:rsidRDefault="00AF4AE6" w:rsidP="008E7E4B">
            <w:pPr>
              <w:pStyle w:val="N1-1stBullet"/>
              <w:spacing w:after="0" w:line="240" w:lineRule="atLeast"/>
            </w:pPr>
            <w:r>
              <w:t>Ability to</w:t>
            </w:r>
            <w:r w:rsidR="001B2C88" w:rsidRPr="001B2C88">
              <w:t xml:space="preserve"> </w:t>
            </w:r>
            <w:r>
              <w:t>cultivate</w:t>
            </w:r>
            <w:r w:rsidR="001B2C88" w:rsidRPr="001B2C88">
              <w:t xml:space="preserve"> trusting relationships </w:t>
            </w:r>
            <w:r>
              <w:t>with a diverse group of stakeholders.</w:t>
            </w:r>
          </w:p>
          <w:p w14:paraId="4C070CAB" w14:textId="1AF87B70" w:rsidR="001B2C88" w:rsidRPr="001B2C88" w:rsidRDefault="001B2C88" w:rsidP="008E7E4B">
            <w:pPr>
              <w:pStyle w:val="N1-1stBullet"/>
              <w:spacing w:after="0" w:line="240" w:lineRule="atLeast"/>
            </w:pPr>
            <w:r w:rsidRPr="001B2C88">
              <w:t>Experience working with stakeholders across agencies and organizations on school improvement initiatives</w:t>
            </w:r>
            <w:r w:rsidR="00957AC4">
              <w:t>.</w:t>
            </w:r>
          </w:p>
          <w:p w14:paraId="06A01A64" w14:textId="00CD05E1" w:rsidR="001B2C88" w:rsidRPr="001B2C88" w:rsidRDefault="001B2C88" w:rsidP="008E7E4B">
            <w:pPr>
              <w:pStyle w:val="N1-1stBullet"/>
              <w:spacing w:after="0" w:line="240" w:lineRule="atLeast"/>
            </w:pPr>
            <w:r w:rsidRPr="001B2C88">
              <w:t>Ability to make difficult decisions</w:t>
            </w:r>
            <w:r w:rsidR="00957AC4">
              <w:t>.</w:t>
            </w:r>
          </w:p>
          <w:p w14:paraId="472111C5" w14:textId="77777777" w:rsidR="001B2C88" w:rsidRPr="001B2C88" w:rsidRDefault="001B2C88" w:rsidP="008E7E4B">
            <w:pPr>
              <w:pStyle w:val="N1-1stBullet"/>
              <w:spacing w:after="0" w:line="240" w:lineRule="atLeast"/>
            </w:pPr>
            <w:r w:rsidRPr="001B2C88">
              <w:t>Experience building cross-agency connections and breaking down organizational silos.</w:t>
            </w:r>
          </w:p>
          <w:p w14:paraId="34A2A904" w14:textId="24A18AE8" w:rsidR="0015314A" w:rsidRPr="00496311" w:rsidRDefault="00AF4AE6" w:rsidP="008E7E4B">
            <w:pPr>
              <w:pStyle w:val="N1-1stBullet"/>
              <w:spacing w:after="0" w:line="240" w:lineRule="atLeast"/>
              <w:rPr>
                <w:rFonts w:ascii="Arial" w:hAnsi="Arial" w:cs="Arial"/>
                <w:color w:val="000000"/>
                <w:sz w:val="20"/>
                <w:szCs w:val="20"/>
              </w:rPr>
            </w:pPr>
            <w:r>
              <w:t>Preferably, k</w:t>
            </w:r>
            <w:r w:rsidR="001B2C88" w:rsidRPr="001B2C88">
              <w:t>nowledge o</w:t>
            </w:r>
            <w:r w:rsidR="00496311">
              <w:t>f NICs and familiarity with the implementation</w:t>
            </w:r>
            <w:r w:rsidR="005D788A">
              <w:t>-</w:t>
            </w:r>
            <w:r w:rsidR="00496311">
              <w:t>science approach to improvement.</w:t>
            </w:r>
          </w:p>
        </w:tc>
      </w:tr>
      <w:tr w:rsidR="00957AC4" w:rsidRPr="001B2C88" w14:paraId="58D399AB" w14:textId="77777777" w:rsidTr="002662D1">
        <w:trPr>
          <w:trHeight w:val="20"/>
        </w:trPr>
        <w:tc>
          <w:tcPr>
            <w:tcW w:w="0" w:type="auto"/>
            <w:tcBorders>
              <w:right w:val="single" w:sz="4" w:space="0" w:color="328612"/>
            </w:tcBorders>
            <w:shd w:val="clear" w:color="auto" w:fill="EAF4EF"/>
            <w:tcMar>
              <w:top w:w="100" w:type="dxa"/>
              <w:left w:w="100" w:type="dxa"/>
              <w:bottom w:w="100" w:type="dxa"/>
              <w:right w:w="100" w:type="dxa"/>
            </w:tcMar>
            <w:hideMark/>
          </w:tcPr>
          <w:p w14:paraId="05A77FDE" w14:textId="707E017B" w:rsidR="009419A4" w:rsidRPr="00C54A5C" w:rsidRDefault="0024751D" w:rsidP="002662D1">
            <w:pPr>
              <w:pStyle w:val="SL-FlLftSgl"/>
              <w:spacing w:line="240" w:lineRule="atLeast"/>
              <w:rPr>
                <w:rFonts w:ascii="Times New Roman" w:hAnsi="Times New Roman"/>
                <w:b/>
                <w:sz w:val="24"/>
                <w:szCs w:val="24"/>
              </w:rPr>
            </w:pPr>
            <w:r>
              <w:rPr>
                <w:b/>
              </w:rPr>
              <w:t>Improvement Hub</w:t>
            </w:r>
            <w:r w:rsidR="009419A4" w:rsidRPr="00C54A5C">
              <w:rPr>
                <w:b/>
              </w:rPr>
              <w:t xml:space="preserve"> Members</w:t>
            </w:r>
          </w:p>
          <w:p w14:paraId="42DFCF34" w14:textId="65E84E97" w:rsidR="001B2C88" w:rsidRPr="001B2C88" w:rsidRDefault="00A55822" w:rsidP="00C54A5C">
            <w:pPr>
              <w:spacing w:line="240" w:lineRule="atLeast"/>
              <w:rPr>
                <w:rFonts w:ascii="Times New Roman" w:eastAsia="Times New Roman" w:hAnsi="Times New Roman" w:cs="Times New Roman"/>
              </w:rPr>
            </w:pPr>
            <w:r w:rsidRPr="002662D1">
              <w:rPr>
                <w:rFonts w:ascii="Cambria" w:eastAsia="Times New Roman" w:hAnsi="Cambria" w:cs="Arial"/>
                <w:color w:val="FF0000"/>
                <w:sz w:val="20"/>
                <w:szCs w:val="20"/>
              </w:rPr>
              <w:t>[</w:t>
            </w:r>
            <w:r w:rsidR="001B2C88" w:rsidRPr="002662D1">
              <w:rPr>
                <w:rFonts w:ascii="Cambria" w:eastAsia="Times New Roman" w:hAnsi="Cambria" w:cs="Arial"/>
                <w:color w:val="FF0000"/>
                <w:sz w:val="20"/>
                <w:szCs w:val="20"/>
              </w:rPr>
              <w:t>Insert Name</w:t>
            </w:r>
            <w:r w:rsidR="009419A4" w:rsidRPr="002662D1">
              <w:rPr>
                <w:rFonts w:ascii="Cambria" w:eastAsia="Times New Roman" w:hAnsi="Cambria" w:cs="Arial"/>
                <w:color w:val="FF0000"/>
                <w:sz w:val="20"/>
                <w:szCs w:val="20"/>
              </w:rPr>
              <w:t>s</w:t>
            </w:r>
            <w:r w:rsidR="001B2C88" w:rsidRPr="002662D1">
              <w:rPr>
                <w:rFonts w:ascii="Cambria" w:eastAsia="Times New Roman" w:hAnsi="Cambria" w:cs="Arial"/>
                <w:color w:val="FF0000"/>
                <w:sz w:val="20"/>
                <w:szCs w:val="20"/>
              </w:rPr>
              <w:t xml:space="preserve"> and Affiliation</w:t>
            </w:r>
            <w:r w:rsidRPr="002662D1">
              <w:rPr>
                <w:rFonts w:ascii="Cambria" w:eastAsia="Times New Roman" w:hAnsi="Cambria" w:cs="Arial"/>
                <w:color w:val="FF0000"/>
                <w:sz w:val="20"/>
                <w:szCs w:val="20"/>
              </w:rPr>
              <w:t>]</w:t>
            </w:r>
          </w:p>
        </w:tc>
        <w:tc>
          <w:tcPr>
            <w:tcW w:w="3866" w:type="dxa"/>
            <w:tcBorders>
              <w:left w:val="single" w:sz="4" w:space="0" w:color="328612"/>
              <w:right w:val="single" w:sz="4" w:space="0" w:color="328612"/>
            </w:tcBorders>
            <w:shd w:val="clear" w:color="auto" w:fill="EAF4EF"/>
            <w:tcMar>
              <w:top w:w="100" w:type="dxa"/>
              <w:left w:w="100" w:type="dxa"/>
              <w:bottom w:w="100" w:type="dxa"/>
              <w:right w:w="100" w:type="dxa"/>
            </w:tcMar>
            <w:hideMark/>
          </w:tcPr>
          <w:p w14:paraId="1F1CDABB" w14:textId="2081605D" w:rsidR="001B2C88" w:rsidRDefault="00A26FED" w:rsidP="009951F8">
            <w:pPr>
              <w:pStyle w:val="SL-FlLftSgl"/>
              <w:spacing w:after="90" w:line="240" w:lineRule="atLeast"/>
              <w:ind w:left="70"/>
            </w:pPr>
            <w:r>
              <w:t>M</w:t>
            </w:r>
            <w:r w:rsidR="001B2C88" w:rsidRPr="001B2C88">
              <w:t xml:space="preserve">embers </w:t>
            </w:r>
            <w:r w:rsidR="009419A4">
              <w:t xml:space="preserve">of the </w:t>
            </w:r>
            <w:r w:rsidR="0024751D">
              <w:t>improvement hub</w:t>
            </w:r>
            <w:r w:rsidR="009419A4">
              <w:t xml:space="preserve"> include content experts, context experts, and data experts. </w:t>
            </w:r>
            <w:r w:rsidR="00B37B54">
              <w:t xml:space="preserve">Ideally, </w:t>
            </w:r>
            <w:r w:rsidR="0024751D">
              <w:t>improvement hub</w:t>
            </w:r>
            <w:r w:rsidR="00B37B54">
              <w:t xml:space="preserve"> members represent key stakeholder groups </w:t>
            </w:r>
            <w:r>
              <w:t>across all levels of the organizational system (e.g., classroom, school, district, and state)</w:t>
            </w:r>
            <w:r w:rsidR="00095863">
              <w:t xml:space="preserve"> as well as partnering agencies.</w:t>
            </w:r>
          </w:p>
          <w:p w14:paraId="4231CBE3" w14:textId="2BA22C45" w:rsidR="002B7744" w:rsidRPr="000762B7" w:rsidRDefault="002B7744" w:rsidP="009951F8">
            <w:pPr>
              <w:pStyle w:val="SL-FlLftSgl"/>
              <w:spacing w:after="90" w:line="240" w:lineRule="atLeast"/>
              <w:ind w:left="70"/>
            </w:pPr>
            <w:r w:rsidRPr="000762B7">
              <w:rPr>
                <w:b/>
                <w:bCs/>
              </w:rPr>
              <w:t>Content Expert(s)</w:t>
            </w:r>
            <w:r w:rsidRPr="007255F2">
              <w:rPr>
                <w:bCs/>
              </w:rPr>
              <w:t>:</w:t>
            </w:r>
            <w:r w:rsidRPr="000762B7">
              <w:t xml:space="preserve"> Understands content </w:t>
            </w:r>
            <w:r w:rsidR="0024751D">
              <w:t xml:space="preserve">area </w:t>
            </w:r>
            <w:r w:rsidRPr="000762B7">
              <w:t>(e.g., pedagogy, systems of support, subject</w:t>
            </w:r>
            <w:r w:rsidR="001E62D9">
              <w:t xml:space="preserve"> </w:t>
            </w:r>
            <w:r w:rsidRPr="000762B7">
              <w:t xml:space="preserve">areas, </w:t>
            </w:r>
            <w:r w:rsidR="00F61614">
              <w:t xml:space="preserve">and </w:t>
            </w:r>
            <w:r w:rsidRPr="000762B7">
              <w:t>special subgroups)</w:t>
            </w:r>
            <w:r w:rsidR="0024751D">
              <w:t xml:space="preserve"> and problem under investigation; Aware of who knows what across the organization; and, can help others understand the content.</w:t>
            </w:r>
          </w:p>
          <w:p w14:paraId="1E97FE35" w14:textId="57FE33C6" w:rsidR="002B7744" w:rsidRPr="000762B7" w:rsidRDefault="002B7744" w:rsidP="009951F8">
            <w:pPr>
              <w:pStyle w:val="SL-FlLftSgl"/>
              <w:spacing w:after="90" w:line="240" w:lineRule="atLeast"/>
              <w:ind w:left="70"/>
            </w:pPr>
            <w:r w:rsidRPr="000762B7">
              <w:rPr>
                <w:b/>
                <w:bCs/>
              </w:rPr>
              <w:t>Context Expert(s)</w:t>
            </w:r>
            <w:r w:rsidRPr="000762B7">
              <w:t>: Understands the organization, r</w:t>
            </w:r>
            <w:r w:rsidR="002C2BFA">
              <w:t>oles and r</w:t>
            </w:r>
            <w:r w:rsidRPr="000762B7">
              <w:t>esponsibilities of stakeholders, how stakeholders interact, and the local p</w:t>
            </w:r>
            <w:r w:rsidR="002C2BFA">
              <w:t>olitical and personal landscape; can see the problem from multiple perspectives.</w:t>
            </w:r>
          </w:p>
          <w:p w14:paraId="30FFED6F" w14:textId="284648E7" w:rsidR="001B2C88" w:rsidRPr="001B2C88" w:rsidRDefault="002B7744" w:rsidP="009951F8">
            <w:pPr>
              <w:pStyle w:val="SL-FlLftSgl"/>
              <w:spacing w:after="40" w:line="240" w:lineRule="atLeast"/>
              <w:ind w:left="70"/>
              <w:rPr>
                <w:rFonts w:ascii="Times New Roman" w:hAnsi="Times New Roman"/>
                <w:sz w:val="24"/>
                <w:szCs w:val="24"/>
              </w:rPr>
            </w:pPr>
            <w:r w:rsidRPr="000762B7">
              <w:rPr>
                <w:b/>
                <w:bCs/>
              </w:rPr>
              <w:t>Data Expert(s)</w:t>
            </w:r>
            <w:r w:rsidRPr="007255F2">
              <w:rPr>
                <w:bCs/>
              </w:rPr>
              <w:t>:</w:t>
            </w:r>
            <w:r w:rsidRPr="000762B7">
              <w:t xml:space="preserve"> Understands </w:t>
            </w:r>
            <w:r w:rsidR="009951F8">
              <w:t xml:space="preserve">the organization’s </w:t>
            </w:r>
            <w:r w:rsidRPr="000762B7">
              <w:t xml:space="preserve">data systems; </w:t>
            </w:r>
            <w:r w:rsidR="009951F8">
              <w:t>has expertise in</w:t>
            </w:r>
            <w:r w:rsidRPr="000762B7">
              <w:t xml:space="preserve"> data </w:t>
            </w:r>
            <w:r w:rsidR="009951F8">
              <w:t xml:space="preserve">collection, </w:t>
            </w:r>
            <w:r w:rsidRPr="000762B7">
              <w:t>extraction,</w:t>
            </w:r>
            <w:r w:rsidR="009951F8">
              <w:t xml:space="preserve"> and visualization; can help others interpret and use data</w:t>
            </w:r>
            <w:r w:rsidRPr="000762B7">
              <w:t>.</w:t>
            </w:r>
          </w:p>
        </w:tc>
        <w:tc>
          <w:tcPr>
            <w:tcW w:w="3867" w:type="dxa"/>
            <w:tcBorders>
              <w:left w:val="single" w:sz="4" w:space="0" w:color="328612"/>
              <w:right w:val="single" w:sz="4" w:space="0" w:color="328612"/>
            </w:tcBorders>
            <w:shd w:val="clear" w:color="auto" w:fill="EAF4EF"/>
            <w:tcMar>
              <w:top w:w="100" w:type="dxa"/>
              <w:left w:w="100" w:type="dxa"/>
              <w:bottom w:w="100" w:type="dxa"/>
              <w:right w:w="100" w:type="dxa"/>
            </w:tcMar>
            <w:hideMark/>
          </w:tcPr>
          <w:p w14:paraId="65448953" w14:textId="3985B35E" w:rsidR="001B2C88" w:rsidRPr="00C54A5C" w:rsidRDefault="001B2C88" w:rsidP="008E7E4B">
            <w:pPr>
              <w:pStyle w:val="N1-1stBullet"/>
              <w:spacing w:after="0" w:line="240" w:lineRule="atLeast"/>
            </w:pPr>
            <w:r w:rsidRPr="00C54A5C">
              <w:t xml:space="preserve">Leads and/or participates in regular </w:t>
            </w:r>
            <w:r w:rsidR="00957AC4" w:rsidRPr="00C54A5C">
              <w:t>NIC</w:t>
            </w:r>
            <w:r w:rsidRPr="00C54A5C">
              <w:t xml:space="preserve"> meetings</w:t>
            </w:r>
            <w:r w:rsidR="002B7744" w:rsidRPr="00C54A5C">
              <w:t>.</w:t>
            </w:r>
          </w:p>
          <w:p w14:paraId="5E280901" w14:textId="3363D28A" w:rsidR="00957AC4" w:rsidRPr="00C54A5C" w:rsidRDefault="00957AC4" w:rsidP="008E7E4B">
            <w:pPr>
              <w:pStyle w:val="N1-1stBullet"/>
              <w:spacing w:after="0" w:line="240" w:lineRule="atLeast"/>
            </w:pPr>
            <w:r w:rsidRPr="00C54A5C">
              <w:t>Applies expertise and thought</w:t>
            </w:r>
            <w:r w:rsidR="002B7744" w:rsidRPr="00C54A5C">
              <w:t xml:space="preserve"> </w:t>
            </w:r>
            <w:r w:rsidRPr="00C54A5C">
              <w:t xml:space="preserve">leadership to guide the improvement effort. </w:t>
            </w:r>
          </w:p>
          <w:p w14:paraId="4429C3BA" w14:textId="35221C82" w:rsidR="002C2BFA" w:rsidRDefault="002C2BFA" w:rsidP="008E7E4B">
            <w:pPr>
              <w:pStyle w:val="N1-1stBullet"/>
              <w:spacing w:after="0" w:line="240" w:lineRule="atLeast"/>
            </w:pPr>
            <w:r>
              <w:t>Collaborates with project champion to develop the problem statement.</w:t>
            </w:r>
          </w:p>
          <w:p w14:paraId="1155125E" w14:textId="520926FE" w:rsidR="001B2C88" w:rsidRPr="00C54A5C" w:rsidRDefault="002B7744" w:rsidP="008E7E4B">
            <w:pPr>
              <w:pStyle w:val="N1-1stBullet"/>
              <w:spacing w:after="0" w:line="240" w:lineRule="atLeast"/>
            </w:pPr>
            <w:r w:rsidRPr="00C54A5C">
              <w:t>Supports other tasks as assigned</w:t>
            </w:r>
            <w:r w:rsidR="001B2C88" w:rsidRPr="00C54A5C">
              <w:t>.</w:t>
            </w:r>
            <w:r w:rsidRPr="00C54A5C">
              <w:t xml:space="preserve"> </w:t>
            </w:r>
            <w:r w:rsidR="001B2C88" w:rsidRPr="00C54A5C">
              <w:t xml:space="preserve">Examples include recruiting members, facilitating data agreements, drafting </w:t>
            </w:r>
            <w:r w:rsidR="002A471F" w:rsidRPr="00C54A5C">
              <w:t>memorandums of understanding (</w:t>
            </w:r>
            <w:r w:rsidR="001B2C88" w:rsidRPr="00C54A5C">
              <w:t>MOUs</w:t>
            </w:r>
            <w:r w:rsidR="002A471F" w:rsidRPr="00C54A5C">
              <w:t>)</w:t>
            </w:r>
            <w:r w:rsidR="001B2C88" w:rsidRPr="00C54A5C">
              <w:t xml:space="preserve">, developing data collection protocols, </w:t>
            </w:r>
            <w:r w:rsidR="00957AC4" w:rsidRPr="00C54A5C">
              <w:t>co</w:t>
            </w:r>
            <w:r w:rsidR="001B2C88" w:rsidRPr="00C54A5C">
              <w:t>designing interventions, determin</w:t>
            </w:r>
            <w:r w:rsidR="00120BB9" w:rsidRPr="00C54A5C">
              <w:t>ing</w:t>
            </w:r>
            <w:r w:rsidR="001B2C88" w:rsidRPr="00C54A5C">
              <w:t xml:space="preserve"> measures and protocols utilized for indication of fidelity of implementation, collecting and analyzing data</w:t>
            </w:r>
            <w:r w:rsidR="00957AC4" w:rsidRPr="00C54A5C">
              <w:t>, and providing expertise to guide the improvement effort.</w:t>
            </w:r>
          </w:p>
        </w:tc>
        <w:tc>
          <w:tcPr>
            <w:tcW w:w="3867" w:type="dxa"/>
            <w:tcBorders>
              <w:left w:val="single" w:sz="4" w:space="0" w:color="328612"/>
            </w:tcBorders>
            <w:shd w:val="clear" w:color="auto" w:fill="EAF4EF"/>
            <w:tcMar>
              <w:top w:w="100" w:type="dxa"/>
              <w:left w:w="100" w:type="dxa"/>
              <w:bottom w:w="100" w:type="dxa"/>
              <w:right w:w="100" w:type="dxa"/>
            </w:tcMar>
            <w:hideMark/>
          </w:tcPr>
          <w:p w14:paraId="7AAE2DF0" w14:textId="7EE16CB6" w:rsidR="00185261" w:rsidRPr="00C54A5C" w:rsidRDefault="00185261" w:rsidP="008E7E4B">
            <w:pPr>
              <w:pStyle w:val="N1-1stBullet"/>
              <w:spacing w:after="0" w:line="240" w:lineRule="atLeast"/>
            </w:pPr>
            <w:r w:rsidRPr="00C54A5C">
              <w:t>General responsibilities beyond content, context, and/or research/data expertise:</w:t>
            </w:r>
          </w:p>
          <w:p w14:paraId="5B7EE66C" w14:textId="19FF856C" w:rsidR="002B7744" w:rsidRPr="00C54A5C" w:rsidRDefault="002B7744" w:rsidP="008E7E4B">
            <w:pPr>
              <w:pStyle w:val="N1-1stBullet"/>
              <w:spacing w:after="0" w:line="240" w:lineRule="atLeast"/>
            </w:pPr>
            <w:r w:rsidRPr="00C54A5C">
              <w:t>Ability and commitment to secure resources necessary to sustain the improvement effort.</w:t>
            </w:r>
          </w:p>
          <w:p w14:paraId="16747D16" w14:textId="668A356C" w:rsidR="00BC32A5" w:rsidRPr="00C54A5C" w:rsidRDefault="00BC32A5" w:rsidP="008E7E4B">
            <w:pPr>
              <w:pStyle w:val="N1-1stBullet"/>
              <w:spacing w:after="0" w:line="240" w:lineRule="atLeast"/>
            </w:pPr>
            <w:r w:rsidRPr="00C54A5C">
              <w:t xml:space="preserve">Proven experience developing trusting relationships with </w:t>
            </w:r>
            <w:r w:rsidR="002B7744" w:rsidRPr="00C54A5C">
              <w:t xml:space="preserve">diverse </w:t>
            </w:r>
            <w:r w:rsidR="003D4039" w:rsidRPr="00C54A5C">
              <w:t>stakeholder groups.</w:t>
            </w:r>
          </w:p>
          <w:p w14:paraId="0DEF6C4B" w14:textId="08CA7718" w:rsidR="00BC32A5" w:rsidRPr="00C54A5C" w:rsidRDefault="00BC32A5" w:rsidP="008E7E4B">
            <w:pPr>
              <w:pStyle w:val="N1-1stBullet"/>
              <w:spacing w:after="0" w:line="240" w:lineRule="atLeast"/>
            </w:pPr>
            <w:r w:rsidRPr="00C54A5C">
              <w:t>Experience working with</w:t>
            </w:r>
            <w:r w:rsidR="003D4039" w:rsidRPr="00C54A5C">
              <w:t xml:space="preserve"> diverse</w:t>
            </w:r>
            <w:r w:rsidRPr="00C54A5C">
              <w:t xml:space="preserve"> stakeholders across agencies and organizations on school improvement initiatives.</w:t>
            </w:r>
          </w:p>
          <w:p w14:paraId="0894004A" w14:textId="77777777" w:rsidR="00BC32A5" w:rsidRPr="00C54A5C" w:rsidRDefault="00BC32A5" w:rsidP="008E7E4B">
            <w:pPr>
              <w:pStyle w:val="N1-1stBullet"/>
              <w:spacing w:after="0" w:line="240" w:lineRule="atLeast"/>
            </w:pPr>
            <w:r w:rsidRPr="00C54A5C">
              <w:t>Experience building cross-agency connections and breaking down organizational silos.</w:t>
            </w:r>
          </w:p>
          <w:p w14:paraId="78510FAF" w14:textId="38A867EF" w:rsidR="001B2C88" w:rsidRPr="00C54A5C" w:rsidRDefault="003D4039" w:rsidP="008E7E4B">
            <w:pPr>
              <w:pStyle w:val="N1-1stBullet"/>
              <w:spacing w:after="0" w:line="240" w:lineRule="atLeast"/>
            </w:pPr>
            <w:r w:rsidRPr="00C54A5C">
              <w:t xml:space="preserve">Preferably, </w:t>
            </w:r>
            <w:r w:rsidR="006C06E7" w:rsidRPr="00C54A5C">
              <w:t xml:space="preserve">a </w:t>
            </w:r>
            <w:r w:rsidRPr="00C54A5C">
              <w:t>familiarity with the implementation</w:t>
            </w:r>
            <w:r w:rsidR="006C06E7" w:rsidRPr="00C54A5C">
              <w:t>-</w:t>
            </w:r>
            <w:r w:rsidRPr="00C54A5C">
              <w:t>science approach to improvement.</w:t>
            </w:r>
          </w:p>
        </w:tc>
      </w:tr>
      <w:tr w:rsidR="00957AC4" w:rsidRPr="001B2C88" w14:paraId="3CC36136" w14:textId="77777777" w:rsidTr="00C54A5C">
        <w:trPr>
          <w:trHeight w:val="20"/>
        </w:trPr>
        <w:tc>
          <w:tcPr>
            <w:tcW w:w="0" w:type="auto"/>
            <w:tcBorders>
              <w:right w:val="single" w:sz="4" w:space="0" w:color="328612"/>
            </w:tcBorders>
            <w:tcMar>
              <w:top w:w="100" w:type="dxa"/>
              <w:left w:w="100" w:type="dxa"/>
              <w:bottom w:w="100" w:type="dxa"/>
              <w:right w:w="100" w:type="dxa"/>
            </w:tcMar>
            <w:hideMark/>
          </w:tcPr>
          <w:p w14:paraId="48BB20F1" w14:textId="429DA15E" w:rsidR="001B2C88" w:rsidRPr="00C54A5C" w:rsidRDefault="00E17428" w:rsidP="002662D1">
            <w:pPr>
              <w:pStyle w:val="SL-FlLftSgl"/>
              <w:spacing w:line="240" w:lineRule="atLeast"/>
              <w:rPr>
                <w:rFonts w:ascii="Times New Roman" w:hAnsi="Times New Roman"/>
                <w:b/>
                <w:sz w:val="24"/>
                <w:szCs w:val="24"/>
              </w:rPr>
            </w:pPr>
            <w:r w:rsidRPr="00C54A5C">
              <w:rPr>
                <w:b/>
              </w:rPr>
              <w:t xml:space="preserve">Site-Based </w:t>
            </w:r>
            <w:r w:rsidR="002C2BFA">
              <w:rPr>
                <w:b/>
              </w:rPr>
              <w:t>Teams</w:t>
            </w:r>
          </w:p>
          <w:p w14:paraId="644C2FC8" w14:textId="5CB8DEEC" w:rsidR="001B2C88" w:rsidRPr="002662D1" w:rsidRDefault="00B8511F" w:rsidP="00C54A5C">
            <w:pPr>
              <w:spacing w:line="240" w:lineRule="atLeast"/>
              <w:rPr>
                <w:rFonts w:ascii="Cambria" w:eastAsia="Times New Roman" w:hAnsi="Cambria" w:cs="Times New Roman"/>
              </w:rPr>
            </w:pPr>
            <w:r w:rsidRPr="002662D1">
              <w:rPr>
                <w:rFonts w:ascii="Cambria" w:eastAsia="Times New Roman" w:hAnsi="Cambria" w:cs="Arial"/>
                <w:color w:val="FF0000"/>
                <w:sz w:val="20"/>
                <w:szCs w:val="20"/>
              </w:rPr>
              <w:t>[</w:t>
            </w:r>
            <w:r w:rsidR="001B2C88" w:rsidRPr="002662D1">
              <w:rPr>
                <w:rFonts w:ascii="Cambria" w:eastAsia="Times New Roman" w:hAnsi="Cambria" w:cs="Arial"/>
                <w:color w:val="FF0000"/>
                <w:sz w:val="20"/>
                <w:szCs w:val="20"/>
              </w:rPr>
              <w:t>Insert Name and Affiliation</w:t>
            </w:r>
            <w:r w:rsidRPr="002662D1">
              <w:rPr>
                <w:rFonts w:ascii="Cambria" w:eastAsia="Times New Roman" w:hAnsi="Cambria" w:cs="Arial"/>
                <w:color w:val="FF0000"/>
                <w:sz w:val="20"/>
                <w:szCs w:val="20"/>
              </w:rPr>
              <w:t>]</w:t>
            </w:r>
          </w:p>
        </w:tc>
        <w:tc>
          <w:tcPr>
            <w:tcW w:w="3866" w:type="dxa"/>
            <w:tcBorders>
              <w:left w:val="single" w:sz="4" w:space="0" w:color="328612"/>
              <w:right w:val="single" w:sz="4" w:space="0" w:color="328612"/>
            </w:tcBorders>
            <w:tcMar>
              <w:top w:w="100" w:type="dxa"/>
              <w:left w:w="100" w:type="dxa"/>
              <w:bottom w:w="100" w:type="dxa"/>
              <w:right w:w="100" w:type="dxa"/>
            </w:tcMar>
            <w:hideMark/>
          </w:tcPr>
          <w:p w14:paraId="649A6817" w14:textId="0698E575" w:rsidR="001B2C88" w:rsidRPr="001B2C88" w:rsidRDefault="001B2C88" w:rsidP="002662D1">
            <w:pPr>
              <w:pStyle w:val="SL-FlLftSgl"/>
              <w:spacing w:after="40" w:line="240" w:lineRule="atLeast"/>
              <w:rPr>
                <w:rFonts w:ascii="Times New Roman" w:hAnsi="Times New Roman"/>
                <w:sz w:val="24"/>
                <w:szCs w:val="24"/>
              </w:rPr>
            </w:pPr>
            <w:r w:rsidRPr="001B2C88">
              <w:t>S</w:t>
            </w:r>
            <w:r w:rsidR="00E17428">
              <w:t>ite-based</w:t>
            </w:r>
            <w:r w:rsidRPr="001B2C88">
              <w:t xml:space="preserve"> team members </w:t>
            </w:r>
            <w:r w:rsidR="00E17428">
              <w:t xml:space="preserve">(e.g., district and/or school leaders) </w:t>
            </w:r>
            <w:r w:rsidR="00A26FED">
              <w:t>may also serve on the leadership</w:t>
            </w:r>
            <w:r w:rsidRPr="001B2C88">
              <w:t xml:space="preserve"> team</w:t>
            </w:r>
            <w:r w:rsidR="00A26FED">
              <w:t xml:space="preserve">. They provide essential ground-level insight and feedback to support the NIC improvement process. Site-based leads also </w:t>
            </w:r>
            <w:r w:rsidR="00E17428">
              <w:t>support recruitment, coordination, and communication with site-based teams who pilot new programs/strategies</w:t>
            </w:r>
            <w:r w:rsidR="00A26FED">
              <w:t>.</w:t>
            </w:r>
          </w:p>
        </w:tc>
        <w:tc>
          <w:tcPr>
            <w:tcW w:w="3867" w:type="dxa"/>
            <w:tcBorders>
              <w:left w:val="single" w:sz="4" w:space="0" w:color="328612"/>
              <w:right w:val="single" w:sz="4" w:space="0" w:color="328612"/>
            </w:tcBorders>
            <w:tcMar>
              <w:top w:w="100" w:type="dxa"/>
              <w:left w:w="100" w:type="dxa"/>
              <w:bottom w:w="100" w:type="dxa"/>
              <w:right w:w="100" w:type="dxa"/>
            </w:tcMar>
            <w:hideMark/>
          </w:tcPr>
          <w:p w14:paraId="30628BCE" w14:textId="23825AA0" w:rsidR="00957AC4" w:rsidRDefault="001B2C88" w:rsidP="008E7E4B">
            <w:pPr>
              <w:pStyle w:val="N1-1stBullet"/>
              <w:spacing w:after="0" w:line="240" w:lineRule="atLeast"/>
            </w:pPr>
            <w:r w:rsidRPr="001B2C88">
              <w:t>Participates in regular (e.g.,</w:t>
            </w:r>
            <w:r w:rsidR="002662D1">
              <w:t> </w:t>
            </w:r>
            <w:r w:rsidRPr="001B2C88">
              <w:t>weekly/biweekly) NIC meetings</w:t>
            </w:r>
            <w:r w:rsidR="00F57B4D">
              <w:t>.</w:t>
            </w:r>
          </w:p>
          <w:p w14:paraId="6E0CC06E" w14:textId="415001B9" w:rsidR="00185261" w:rsidRDefault="00185261" w:rsidP="008E7E4B">
            <w:pPr>
              <w:pStyle w:val="N1-1stBullet"/>
              <w:spacing w:after="0" w:line="240" w:lineRule="atLeast"/>
            </w:pPr>
            <w:r>
              <w:t xml:space="preserve">Provides implementation feedback to the </w:t>
            </w:r>
            <w:r w:rsidR="002C2BFA">
              <w:t>implementation hub</w:t>
            </w:r>
            <w:r w:rsidR="00F57B4D">
              <w:t>.</w:t>
            </w:r>
          </w:p>
          <w:p w14:paraId="7C79F72F" w14:textId="4E8633D1" w:rsidR="00185261" w:rsidRPr="00185261" w:rsidRDefault="00185261" w:rsidP="008E7E4B">
            <w:pPr>
              <w:pStyle w:val="N1-1stBullet"/>
              <w:spacing w:after="0" w:line="240" w:lineRule="atLeast"/>
            </w:pPr>
            <w:r w:rsidRPr="00185261">
              <w:t>Coordinate</w:t>
            </w:r>
            <w:r>
              <w:t>s</w:t>
            </w:r>
            <w:r w:rsidRPr="00185261">
              <w:t xml:space="preserve"> and communicate</w:t>
            </w:r>
            <w:r>
              <w:t>s</w:t>
            </w:r>
            <w:r w:rsidRPr="00185261">
              <w:t xml:space="preserve"> feedback and serve</w:t>
            </w:r>
            <w:r w:rsidR="008A0E51">
              <w:t>s</w:t>
            </w:r>
            <w:r w:rsidRPr="00185261">
              <w:t xml:space="preserve"> as a liaison between frontline worker</w:t>
            </w:r>
            <w:r w:rsidR="002C2BFA">
              <w:t>s (e.g., teachers) and the NIC implementation hub</w:t>
            </w:r>
            <w:r w:rsidRPr="00185261">
              <w:t xml:space="preserve">. </w:t>
            </w:r>
          </w:p>
          <w:p w14:paraId="73818356" w14:textId="1F58F4D9" w:rsidR="001B2C88" w:rsidRPr="00957AC4" w:rsidRDefault="00957AC4" w:rsidP="008E7E4B">
            <w:pPr>
              <w:pStyle w:val="N1-1stBullet"/>
              <w:spacing w:after="0" w:line="240" w:lineRule="atLeast"/>
            </w:pPr>
            <w:r w:rsidRPr="00957AC4">
              <w:t xml:space="preserve">Leads execution of </w:t>
            </w:r>
            <w:r w:rsidR="00A26FED">
              <w:t xml:space="preserve">key </w:t>
            </w:r>
            <w:r w:rsidRPr="00957AC4">
              <w:t>tasks</w:t>
            </w:r>
            <w:r w:rsidR="00A26FED">
              <w:t xml:space="preserve"> to support the improvement effort.</w:t>
            </w:r>
            <w:r w:rsidRPr="00957AC4">
              <w:t xml:space="preserve"> Examples </w:t>
            </w:r>
            <w:r w:rsidR="006B6C53">
              <w:t xml:space="preserve">include participating in NIC leadership team activities, </w:t>
            </w:r>
            <w:r w:rsidRPr="00957AC4">
              <w:t>recruiting members to pilot</w:t>
            </w:r>
            <w:r w:rsidR="008A0E51">
              <w:t>-</w:t>
            </w:r>
            <w:r w:rsidRPr="00957AC4">
              <w:t>test solutions, serving as liaison between frontline workers and the leadership team, assisting in the development of data collection protocols, facilitating data sharing agreements, brokering the sharing of data, and supporting data collection and analysis activities.</w:t>
            </w:r>
          </w:p>
        </w:tc>
        <w:tc>
          <w:tcPr>
            <w:tcW w:w="3867" w:type="dxa"/>
            <w:tcBorders>
              <w:left w:val="single" w:sz="4" w:space="0" w:color="328612"/>
            </w:tcBorders>
            <w:tcMar>
              <w:top w:w="100" w:type="dxa"/>
              <w:left w:w="100" w:type="dxa"/>
              <w:bottom w:w="100" w:type="dxa"/>
              <w:right w:w="100" w:type="dxa"/>
            </w:tcMar>
            <w:hideMark/>
          </w:tcPr>
          <w:p w14:paraId="590DE33E" w14:textId="29F335E5" w:rsidR="00957AC4" w:rsidRDefault="00957AC4" w:rsidP="008E7E4B">
            <w:pPr>
              <w:pStyle w:val="N1-1stBullet"/>
              <w:spacing w:after="0" w:line="240" w:lineRule="atLeast"/>
            </w:pPr>
            <w:r w:rsidRPr="00185261">
              <w:t>Skilled in leading site-based improvement efforts</w:t>
            </w:r>
            <w:r w:rsidR="008A0E51">
              <w:t>.</w:t>
            </w:r>
          </w:p>
          <w:p w14:paraId="279AFC1A" w14:textId="1F2E3E38" w:rsidR="00185261" w:rsidRPr="00185261" w:rsidRDefault="00185261" w:rsidP="008E7E4B">
            <w:pPr>
              <w:pStyle w:val="N1-1stBullet"/>
              <w:spacing w:after="0" w:line="240" w:lineRule="atLeast"/>
            </w:pPr>
            <w:r w:rsidRPr="002B7744">
              <w:t xml:space="preserve">Experience implementing the </w:t>
            </w:r>
            <w:r w:rsidR="001F71D6">
              <w:t>P</w:t>
            </w:r>
            <w:r w:rsidRPr="002B7744">
              <w:t>lan-</w:t>
            </w:r>
            <w:r w:rsidR="001F71D6">
              <w:t>D</w:t>
            </w:r>
            <w:r w:rsidRPr="002B7744">
              <w:t>o-</w:t>
            </w:r>
            <w:r w:rsidR="001F71D6">
              <w:t>S</w:t>
            </w:r>
            <w:r w:rsidRPr="002B7744">
              <w:t>tudy-</w:t>
            </w:r>
            <w:r w:rsidR="001F71D6">
              <w:t>A</w:t>
            </w:r>
            <w:r w:rsidRPr="002B7744">
              <w:t>ct cycle of inquiry</w:t>
            </w:r>
            <w:r w:rsidR="008A0E51">
              <w:t xml:space="preserve"> </w:t>
            </w:r>
            <w:r w:rsidRPr="002B7744">
              <w:t>use.</w:t>
            </w:r>
          </w:p>
          <w:p w14:paraId="037864E5" w14:textId="231509F3" w:rsidR="001B2C88" w:rsidRPr="00185261" w:rsidRDefault="00957AC4" w:rsidP="008E7E4B">
            <w:pPr>
              <w:pStyle w:val="N1-1stBullet"/>
              <w:spacing w:after="0" w:line="240" w:lineRule="atLeast"/>
            </w:pPr>
            <w:r w:rsidRPr="00185261">
              <w:t>Willingness to oversee pilot testing</w:t>
            </w:r>
            <w:r w:rsidR="00185261">
              <w:t xml:space="preserve"> and support the </w:t>
            </w:r>
            <w:r w:rsidR="001F71D6">
              <w:t>Plan</w:t>
            </w:r>
            <w:r w:rsidR="00D23345">
              <w:t>-</w:t>
            </w:r>
            <w:r w:rsidR="001F71D6">
              <w:t>D</w:t>
            </w:r>
            <w:r w:rsidR="00185261">
              <w:t>o</w:t>
            </w:r>
            <w:r w:rsidR="00D23345">
              <w:t>-</w:t>
            </w:r>
            <w:r w:rsidR="001F71D6">
              <w:t>S</w:t>
            </w:r>
            <w:r w:rsidR="00185261">
              <w:t>tudy</w:t>
            </w:r>
            <w:r w:rsidR="00D23345">
              <w:t>-</w:t>
            </w:r>
            <w:r w:rsidR="001F71D6">
              <w:t>A</w:t>
            </w:r>
            <w:r w:rsidR="00185261">
              <w:t>ct inquiry cycle</w:t>
            </w:r>
            <w:r w:rsidR="00185261" w:rsidRPr="00185261">
              <w:t xml:space="preserve">. </w:t>
            </w:r>
          </w:p>
        </w:tc>
      </w:tr>
      <w:tr w:rsidR="00957AC4" w:rsidRPr="001B2C88" w14:paraId="4B1EC8C4" w14:textId="77777777" w:rsidTr="002662D1">
        <w:trPr>
          <w:trHeight w:val="20"/>
        </w:trPr>
        <w:tc>
          <w:tcPr>
            <w:tcW w:w="0" w:type="auto"/>
            <w:tcBorders>
              <w:right w:val="single" w:sz="4" w:space="0" w:color="328612"/>
            </w:tcBorders>
            <w:shd w:val="clear" w:color="auto" w:fill="EAF4EF"/>
            <w:tcMar>
              <w:top w:w="100" w:type="dxa"/>
              <w:left w:w="100" w:type="dxa"/>
              <w:bottom w:w="100" w:type="dxa"/>
              <w:right w:w="100" w:type="dxa"/>
            </w:tcMar>
            <w:hideMark/>
          </w:tcPr>
          <w:p w14:paraId="0506573B" w14:textId="10A670FE" w:rsidR="001B2C88" w:rsidRPr="002662D1" w:rsidRDefault="002C2BFA" w:rsidP="008E7E4B">
            <w:pPr>
              <w:pStyle w:val="SL-FlLftSgl"/>
              <w:keepNext/>
              <w:spacing w:line="240" w:lineRule="atLeast"/>
              <w:rPr>
                <w:b/>
              </w:rPr>
            </w:pPr>
            <w:r>
              <w:rPr>
                <w:b/>
              </w:rPr>
              <w:t>Local End</w:t>
            </w:r>
            <w:r w:rsidR="00B37B54" w:rsidRPr="002662D1">
              <w:rPr>
                <w:b/>
              </w:rPr>
              <w:t xml:space="preserve"> Users</w:t>
            </w:r>
          </w:p>
          <w:p w14:paraId="2D890F42" w14:textId="17B01FC8" w:rsidR="001B2C88" w:rsidRPr="002662D1" w:rsidRDefault="00426139" w:rsidP="00C54A5C">
            <w:pPr>
              <w:spacing w:line="240" w:lineRule="atLeast"/>
              <w:rPr>
                <w:rFonts w:ascii="Cambria" w:eastAsia="Times New Roman" w:hAnsi="Cambria" w:cs="Times New Roman"/>
              </w:rPr>
            </w:pPr>
            <w:r w:rsidRPr="002662D1">
              <w:rPr>
                <w:rFonts w:ascii="Cambria" w:eastAsia="Times New Roman" w:hAnsi="Cambria" w:cs="Arial"/>
                <w:color w:val="FF0000"/>
                <w:sz w:val="20"/>
                <w:szCs w:val="20"/>
              </w:rPr>
              <w:t>[</w:t>
            </w:r>
            <w:r w:rsidR="00306D2E" w:rsidRPr="002662D1">
              <w:rPr>
                <w:rFonts w:ascii="Cambria" w:eastAsia="Times New Roman" w:hAnsi="Cambria" w:cs="Arial"/>
                <w:color w:val="FF0000"/>
                <w:sz w:val="20"/>
                <w:szCs w:val="20"/>
              </w:rPr>
              <w:t>I</w:t>
            </w:r>
            <w:r w:rsidR="001B2C88" w:rsidRPr="002662D1">
              <w:rPr>
                <w:rFonts w:ascii="Cambria" w:eastAsia="Times New Roman" w:hAnsi="Cambria" w:cs="Arial"/>
                <w:color w:val="FF0000"/>
                <w:sz w:val="20"/>
                <w:szCs w:val="20"/>
              </w:rPr>
              <w:t>nsert Name and Affiliation</w:t>
            </w:r>
            <w:r w:rsidRPr="002662D1">
              <w:rPr>
                <w:rFonts w:ascii="Cambria" w:eastAsia="Times New Roman" w:hAnsi="Cambria" w:cs="Arial"/>
                <w:color w:val="FF0000"/>
                <w:sz w:val="20"/>
                <w:szCs w:val="20"/>
              </w:rPr>
              <w:t>]</w:t>
            </w:r>
          </w:p>
        </w:tc>
        <w:tc>
          <w:tcPr>
            <w:tcW w:w="3866" w:type="dxa"/>
            <w:tcBorders>
              <w:left w:val="single" w:sz="4" w:space="0" w:color="328612"/>
              <w:right w:val="single" w:sz="4" w:space="0" w:color="328612"/>
            </w:tcBorders>
            <w:shd w:val="clear" w:color="auto" w:fill="EAF4EF"/>
            <w:tcMar>
              <w:top w:w="100" w:type="dxa"/>
              <w:left w:w="100" w:type="dxa"/>
              <w:bottom w:w="100" w:type="dxa"/>
              <w:right w:w="100" w:type="dxa"/>
            </w:tcMar>
            <w:hideMark/>
          </w:tcPr>
          <w:p w14:paraId="35E55AEE" w14:textId="499323C4" w:rsidR="006B6C53" w:rsidRDefault="002C2BFA" w:rsidP="002662D1">
            <w:pPr>
              <w:pStyle w:val="SL-FlLftSgl"/>
              <w:keepNext/>
              <w:spacing w:after="90" w:line="240" w:lineRule="atLeast"/>
            </w:pPr>
            <w:r>
              <w:t>Local end users</w:t>
            </w:r>
            <w:r w:rsidR="00185261">
              <w:t xml:space="preserve"> (e.g., teachers</w:t>
            </w:r>
            <w:r>
              <w:t>, students</w:t>
            </w:r>
            <w:bookmarkStart w:id="2" w:name="_GoBack"/>
            <w:bookmarkEnd w:id="2"/>
            <w:r w:rsidR="00185261">
              <w:t>)</w:t>
            </w:r>
            <w:r w:rsidR="006B6C53">
              <w:t xml:space="preserve"> provide the “b</w:t>
            </w:r>
            <w:r w:rsidR="006B6C53" w:rsidRPr="001B2C88">
              <w:t>oots on the ground</w:t>
            </w:r>
            <w:r w:rsidR="006B6C53">
              <w:t xml:space="preserve">” </w:t>
            </w:r>
            <w:r w:rsidR="006B6C53" w:rsidRPr="001B2C88">
              <w:t>implementation</w:t>
            </w:r>
            <w:r w:rsidR="006B6C53">
              <w:t xml:space="preserve"> and feedback to NIC members. </w:t>
            </w:r>
          </w:p>
          <w:p w14:paraId="7E1B2174" w14:textId="6FB781A1" w:rsidR="001B2C88" w:rsidRPr="006B6C53" w:rsidRDefault="006B6C53" w:rsidP="002C2BFA">
            <w:pPr>
              <w:pStyle w:val="SL-FlLftSgl"/>
              <w:keepLines/>
              <w:spacing w:after="90" w:line="240" w:lineRule="atLeast"/>
            </w:pPr>
            <w:r>
              <w:t xml:space="preserve">They </w:t>
            </w:r>
            <w:r w:rsidR="001B2C88" w:rsidRPr="001B2C88">
              <w:t>implement school/classroom interventions</w:t>
            </w:r>
            <w:r>
              <w:t>,</w:t>
            </w:r>
            <w:r w:rsidR="001B2C88" w:rsidRPr="001B2C88">
              <w:t xml:space="preserve"> participate in data collection activitie</w:t>
            </w:r>
            <w:r>
              <w:t xml:space="preserve">s, and </w:t>
            </w:r>
            <w:r w:rsidR="001B2C88" w:rsidRPr="001B2C88">
              <w:t>provide ongoing feedback about the intervention.</w:t>
            </w:r>
            <w:r w:rsidR="00185261">
              <w:t xml:space="preserve"> </w:t>
            </w:r>
            <w:r>
              <w:t xml:space="preserve">Frontline workers may also serve on the NIC </w:t>
            </w:r>
            <w:r w:rsidR="002C2BFA">
              <w:t>improvement hub.</w:t>
            </w:r>
          </w:p>
        </w:tc>
        <w:tc>
          <w:tcPr>
            <w:tcW w:w="3867" w:type="dxa"/>
            <w:tcBorders>
              <w:left w:val="single" w:sz="4" w:space="0" w:color="328612"/>
              <w:right w:val="single" w:sz="4" w:space="0" w:color="328612"/>
            </w:tcBorders>
            <w:shd w:val="clear" w:color="auto" w:fill="EAF4EF"/>
            <w:tcMar>
              <w:top w:w="100" w:type="dxa"/>
              <w:left w:w="100" w:type="dxa"/>
              <w:bottom w:w="100" w:type="dxa"/>
              <w:right w:w="100" w:type="dxa"/>
            </w:tcMar>
            <w:hideMark/>
          </w:tcPr>
          <w:p w14:paraId="559CC01A" w14:textId="76D118B2" w:rsidR="00185261" w:rsidRDefault="00185261" w:rsidP="008E7E4B">
            <w:pPr>
              <w:pStyle w:val="N1-1stBullet"/>
              <w:spacing w:after="0" w:line="240" w:lineRule="atLeast"/>
            </w:pPr>
            <w:r w:rsidRPr="00185261">
              <w:t>Willingness to pilot new solutions to problems in a school or classroom setting</w:t>
            </w:r>
            <w:r>
              <w:t>.</w:t>
            </w:r>
          </w:p>
          <w:p w14:paraId="5BC97C99" w14:textId="12558B63" w:rsidR="00185261" w:rsidRPr="00185261" w:rsidRDefault="00185261" w:rsidP="008E7E4B">
            <w:pPr>
              <w:pStyle w:val="N1-1stBullet"/>
              <w:spacing w:after="0" w:line="240" w:lineRule="atLeast"/>
            </w:pPr>
            <w:r>
              <w:t>Participate in data collection activities.</w:t>
            </w:r>
          </w:p>
          <w:p w14:paraId="798295C2" w14:textId="77C683BF" w:rsidR="00185261" w:rsidRDefault="00185261" w:rsidP="008E7E4B">
            <w:pPr>
              <w:pStyle w:val="N1-1stBullet"/>
              <w:spacing w:after="0" w:line="240" w:lineRule="atLeast"/>
            </w:pPr>
            <w:r>
              <w:t xml:space="preserve">Provide implementation feedback to the NIC </w:t>
            </w:r>
            <w:r w:rsidR="002C2BFA">
              <w:t>i</w:t>
            </w:r>
            <w:r>
              <w:t>m</w:t>
            </w:r>
            <w:r w:rsidR="002C2BFA">
              <w:t>provement hub</w:t>
            </w:r>
            <w:r>
              <w:t>.</w:t>
            </w:r>
          </w:p>
          <w:p w14:paraId="1EC46276" w14:textId="382EE6D4" w:rsidR="001B2C88" w:rsidRPr="00185261" w:rsidRDefault="006B6C53" w:rsidP="008E7E4B">
            <w:pPr>
              <w:pStyle w:val="N1-1stBullet"/>
              <w:spacing w:after="0" w:line="240" w:lineRule="atLeast"/>
            </w:pPr>
            <w:r>
              <w:t xml:space="preserve">Participates regularly in </w:t>
            </w:r>
            <w:r w:rsidR="00185261">
              <w:t>NI</w:t>
            </w:r>
            <w:r>
              <w:t xml:space="preserve">C meetings </w:t>
            </w:r>
            <w:r w:rsidR="00185261">
              <w:t>(or as availab</w:t>
            </w:r>
            <w:r>
              <w:t>le, depending on the level of involvement</w:t>
            </w:r>
            <w:r w:rsidR="00185261">
              <w:t>)</w:t>
            </w:r>
            <w:r w:rsidR="00F57B4D">
              <w:t>.</w:t>
            </w:r>
          </w:p>
        </w:tc>
        <w:tc>
          <w:tcPr>
            <w:tcW w:w="3867" w:type="dxa"/>
            <w:tcBorders>
              <w:left w:val="single" w:sz="4" w:space="0" w:color="328612"/>
            </w:tcBorders>
            <w:shd w:val="clear" w:color="auto" w:fill="EAF4EF"/>
            <w:tcMar>
              <w:top w:w="100" w:type="dxa"/>
              <w:left w:w="100" w:type="dxa"/>
              <w:bottom w:w="100" w:type="dxa"/>
              <w:right w:w="100" w:type="dxa"/>
            </w:tcMar>
            <w:hideMark/>
          </w:tcPr>
          <w:p w14:paraId="4BD571EE" w14:textId="77777777" w:rsidR="00185261" w:rsidRDefault="00185261" w:rsidP="008E7E4B">
            <w:pPr>
              <w:pStyle w:val="N1-1stBullet"/>
              <w:spacing w:after="0" w:line="240" w:lineRule="atLeast"/>
            </w:pPr>
            <w:r>
              <w:t xml:space="preserve">Willingness to participate in </w:t>
            </w:r>
            <w:r w:rsidR="00DB5EDD">
              <w:t>testing new solutions to ongoing problems.</w:t>
            </w:r>
          </w:p>
          <w:p w14:paraId="3F481372" w14:textId="31D22FE8" w:rsidR="00DB5EDD" w:rsidRPr="00DB5EDD" w:rsidRDefault="00DB5EDD" w:rsidP="008E7E4B">
            <w:pPr>
              <w:pStyle w:val="N1-1stBullet"/>
              <w:spacing w:after="0" w:line="240" w:lineRule="atLeast"/>
            </w:pPr>
            <w:r>
              <w:t>Willingness to provide formal and informal feedback to support the improvement process.</w:t>
            </w:r>
          </w:p>
        </w:tc>
      </w:tr>
    </w:tbl>
    <w:p w14:paraId="134A36B2" w14:textId="77777777" w:rsidR="00411741" w:rsidRDefault="00B028C2" w:rsidP="008E7E4B">
      <w:pPr>
        <w:spacing w:line="14" w:lineRule="auto"/>
      </w:pPr>
    </w:p>
    <w:sectPr w:rsidR="00411741" w:rsidSect="008E7E4B">
      <w:headerReference w:type="default" r:id="rId11"/>
      <w:footerReference w:type="default" r:id="rId12"/>
      <w:headerReference w:type="first" r:id="rId13"/>
      <w:footerReference w:type="first" r:id="rId14"/>
      <w:pgSz w:w="15840" w:h="12240" w:orient="landscape" w:code="1"/>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61C8" w14:textId="77777777" w:rsidR="00B028C2" w:rsidRDefault="00B028C2" w:rsidP="00C54A5C">
      <w:r>
        <w:separator/>
      </w:r>
    </w:p>
  </w:endnote>
  <w:endnote w:type="continuationSeparator" w:id="0">
    <w:p w14:paraId="5B37C417" w14:textId="77777777" w:rsidR="00B028C2" w:rsidRDefault="00B028C2" w:rsidP="00C5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6F56" w14:textId="61E5FF57" w:rsidR="00C54A5C" w:rsidRPr="004F7620" w:rsidRDefault="00C54A5C" w:rsidP="00C54A5C">
    <w:pPr>
      <w:tabs>
        <w:tab w:val="right" w:pos="9720"/>
      </w:tabs>
      <w:spacing w:line="240" w:lineRule="atLeast"/>
      <w:ind w:left="1440"/>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61312" behindDoc="0" locked="0" layoutInCell="1" allowOverlap="1" wp14:anchorId="5FB31EC4" wp14:editId="5FCAD8DC">
          <wp:simplePos x="0" y="0"/>
          <wp:positionH relativeFrom="column">
            <wp:posOffset>8310245</wp:posOffset>
          </wp:positionH>
          <wp:positionV relativeFrom="paragraph">
            <wp:posOffset>-96520</wp:posOffset>
          </wp:positionV>
          <wp:extent cx="100330" cy="31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2C2BFA">
      <w:rPr>
        <w:rFonts w:ascii="Calibri" w:eastAsia="Times New Roman" w:hAnsi="Calibri" w:cs="Calibri"/>
        <w:noProof/>
        <w:color w:val="356DA2"/>
        <w:sz w:val="20"/>
        <w:szCs w:val="20"/>
      </w:rPr>
      <w:t>5</w:t>
    </w:r>
    <w:r w:rsidRPr="004F7620">
      <w:rPr>
        <w:rFonts w:ascii="Calibri" w:eastAsia="Times New Roman" w:hAnsi="Calibri" w:cs="Calibri"/>
        <w:noProof/>
        <w:color w:val="356DA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03E9" w14:textId="719ACAAF" w:rsidR="00C54A5C" w:rsidRPr="004F7620" w:rsidRDefault="00C54A5C" w:rsidP="00C54A5C">
    <w:pPr>
      <w:tabs>
        <w:tab w:val="right" w:pos="9720"/>
      </w:tabs>
      <w:spacing w:line="240" w:lineRule="atLeast"/>
      <w:ind w:left="1440"/>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59264" behindDoc="0" locked="0" layoutInCell="1" allowOverlap="1" wp14:anchorId="4B69A96E" wp14:editId="13A099C1">
          <wp:simplePos x="0" y="0"/>
          <wp:positionH relativeFrom="column">
            <wp:posOffset>8334375</wp:posOffset>
          </wp:positionH>
          <wp:positionV relativeFrom="paragraph">
            <wp:posOffset>-96520</wp:posOffset>
          </wp:positionV>
          <wp:extent cx="100330" cy="310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B028C2">
      <w:rPr>
        <w:rFonts w:ascii="Calibri" w:eastAsia="Times New Roman" w:hAnsi="Calibri" w:cs="Calibri"/>
        <w:noProof/>
        <w:color w:val="356DA2"/>
        <w:sz w:val="20"/>
        <w:szCs w:val="20"/>
      </w:rPr>
      <w:t>1</w:t>
    </w:r>
    <w:r w:rsidRPr="004F7620">
      <w:rPr>
        <w:rFonts w:ascii="Calibri" w:eastAsia="Times New Roman" w:hAnsi="Calibri" w:cs="Calibri"/>
        <w:noProof/>
        <w:color w:val="356DA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EDFB" w14:textId="77777777" w:rsidR="00B028C2" w:rsidRDefault="00B028C2" w:rsidP="00C54A5C">
      <w:bookmarkStart w:id="0" w:name="_Hlk63342963"/>
      <w:bookmarkEnd w:id="0"/>
      <w:r>
        <w:separator/>
      </w:r>
    </w:p>
  </w:footnote>
  <w:footnote w:type="continuationSeparator" w:id="0">
    <w:p w14:paraId="15C32E31" w14:textId="77777777" w:rsidR="00B028C2" w:rsidRDefault="00B028C2" w:rsidP="00C5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F25F" w14:textId="7985B001" w:rsidR="00C54A5C" w:rsidRPr="004F7620" w:rsidRDefault="00C54A5C" w:rsidP="00C54A5C">
    <w:pPr>
      <w:pBdr>
        <w:bottom w:val="single" w:sz="4" w:space="1" w:color="328612"/>
      </w:pBdr>
      <w:spacing w:after="240" w:line="240" w:lineRule="atLeast"/>
      <w:rPr>
        <w:rFonts w:ascii="Calibri" w:eastAsia="Times New Roman" w:hAnsi="Calibri" w:cs="Calibri"/>
        <w:color w:val="356DA2"/>
        <w:sz w:val="22"/>
        <w:szCs w:val="22"/>
      </w:rPr>
    </w:pPr>
    <w:r w:rsidRPr="00C54A5C">
      <w:rPr>
        <w:rFonts w:ascii="Calibri" w:eastAsia="Times New Roman" w:hAnsi="Calibri" w:cs="Calibri"/>
        <w:color w:val="356DA2"/>
        <w:sz w:val="22"/>
        <w:szCs w:val="22"/>
      </w:rPr>
      <w:t>Networked Improvement Community (NIC) Team Structure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705F" w14:textId="77777777" w:rsidR="00C54A5C" w:rsidRDefault="00C54A5C" w:rsidP="00C54A5C">
    <w:pPr>
      <w:pStyle w:val="Footer"/>
      <w:spacing w:after="240"/>
    </w:pPr>
    <w:r>
      <w:rPr>
        <w:rFonts w:ascii="Calibri" w:eastAsia="Calibri" w:hAnsi="Calibri" w:cs="Times New Roman"/>
        <w:b/>
        <w:noProof/>
        <w:color w:val="F99A1B"/>
      </w:rPr>
      <w:drawing>
        <wp:inline distT="0" distB="0" distL="0" distR="0" wp14:anchorId="6CD2E31F" wp14:editId="71600AC7">
          <wp:extent cx="8229600" cy="117784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11778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B1B"/>
    <w:multiLevelType w:val="multilevel"/>
    <w:tmpl w:val="274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F59D0"/>
    <w:multiLevelType w:val="multilevel"/>
    <w:tmpl w:val="AF3C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4068B"/>
    <w:multiLevelType w:val="multilevel"/>
    <w:tmpl w:val="453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002F3"/>
    <w:multiLevelType w:val="hybridMultilevel"/>
    <w:tmpl w:val="E59AFDB0"/>
    <w:lvl w:ilvl="0" w:tplc="F82C795C">
      <w:start w:val="1"/>
      <w:numFmt w:val="bullet"/>
      <w:lvlText w:val="»"/>
      <w:lvlJc w:val="left"/>
      <w:pPr>
        <w:tabs>
          <w:tab w:val="num" w:pos="1152"/>
        </w:tabs>
        <w:ind w:left="1152" w:hanging="576"/>
      </w:pPr>
      <w:rPr>
        <w:rFonts w:ascii="Calibri" w:hAnsi="Calibri" w:hint="default"/>
        <w:color w:val="32861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E6A25416"/>
    <w:lvl w:ilvl="0" w:tplc="35B24086">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D0D63"/>
    <w:multiLevelType w:val="hybridMultilevel"/>
    <w:tmpl w:val="7BF4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4D5E"/>
    <w:multiLevelType w:val="hybridMultilevel"/>
    <w:tmpl w:val="89FC1372"/>
    <w:lvl w:ilvl="0" w:tplc="6A2699B2">
      <w:start w:val="1"/>
      <w:numFmt w:val="bullet"/>
      <w:pStyle w:val="N1-1stBullet"/>
      <w:lvlText w:val="»"/>
      <w:lvlJc w:val="left"/>
      <w:pPr>
        <w:ind w:left="360" w:hanging="360"/>
      </w:pPr>
      <w:rPr>
        <w:rFonts w:ascii="Calibri" w:hAnsi="Calibri" w:hint="default"/>
        <w:color w:val="32861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D2FAE"/>
    <w:multiLevelType w:val="multilevel"/>
    <w:tmpl w:val="D0A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72F80"/>
    <w:multiLevelType w:val="hybridMultilevel"/>
    <w:tmpl w:val="2D801180"/>
    <w:lvl w:ilvl="0" w:tplc="E182B93E">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1E1FB2"/>
    <w:multiLevelType w:val="multilevel"/>
    <w:tmpl w:val="5C6C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70AA6"/>
    <w:multiLevelType w:val="hybridMultilevel"/>
    <w:tmpl w:val="54803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8276F"/>
    <w:multiLevelType w:val="hybridMultilevel"/>
    <w:tmpl w:val="0BDA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E86CCA"/>
    <w:multiLevelType w:val="hybridMultilevel"/>
    <w:tmpl w:val="560A23D0"/>
    <w:lvl w:ilvl="0" w:tplc="62F26D84">
      <w:start w:val="1"/>
      <w:numFmt w:val="bullet"/>
      <w:pStyle w:val="N2-2ndBullet"/>
      <w:lvlText w:val="›"/>
      <w:lvlJc w:val="left"/>
      <w:pPr>
        <w:ind w:left="1008" w:hanging="360"/>
      </w:pPr>
      <w:rPr>
        <w:rFonts w:ascii="Calibri" w:hAnsi="Calibri" w:hint="default"/>
        <w:b/>
        <w:i w:val="0"/>
        <w:color w:val="356DA2"/>
        <w:sz w:val="22"/>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FF82F62"/>
    <w:multiLevelType w:val="multilevel"/>
    <w:tmpl w:val="1D7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25D77"/>
    <w:multiLevelType w:val="multilevel"/>
    <w:tmpl w:val="F0EC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44E5E"/>
    <w:multiLevelType w:val="multilevel"/>
    <w:tmpl w:val="7446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A2559"/>
    <w:multiLevelType w:val="hybridMultilevel"/>
    <w:tmpl w:val="0DAA9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3A2702"/>
    <w:multiLevelType w:val="multilevel"/>
    <w:tmpl w:val="82FC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05E3D"/>
    <w:multiLevelType w:val="multilevel"/>
    <w:tmpl w:val="450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41EF5"/>
    <w:multiLevelType w:val="hybridMultilevel"/>
    <w:tmpl w:val="39A851BA"/>
    <w:lvl w:ilvl="0" w:tplc="AF66476A">
      <w:start w:val="1"/>
      <w:numFmt w:val="bullet"/>
      <w:lvlText w:val="›"/>
      <w:lvlJc w:val="left"/>
      <w:pPr>
        <w:tabs>
          <w:tab w:val="num" w:pos="1728"/>
        </w:tabs>
        <w:ind w:left="1728" w:hanging="576"/>
      </w:pPr>
      <w:rPr>
        <w:rFonts w:ascii="Calibri" w:hAnsi="Calibri" w:hint="default"/>
        <w:b/>
        <w:i w:val="0"/>
        <w:color w:val="356DA2"/>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3"/>
  </w:num>
  <w:num w:numId="5">
    <w:abstractNumId w:val="7"/>
  </w:num>
  <w:num w:numId="6">
    <w:abstractNumId w:val="9"/>
  </w:num>
  <w:num w:numId="7">
    <w:abstractNumId w:val="14"/>
  </w:num>
  <w:num w:numId="8">
    <w:abstractNumId w:val="1"/>
  </w:num>
  <w:num w:numId="9">
    <w:abstractNumId w:val="0"/>
  </w:num>
  <w:num w:numId="10">
    <w:abstractNumId w:val="2"/>
  </w:num>
  <w:num w:numId="11">
    <w:abstractNumId w:val="5"/>
  </w:num>
  <w:num w:numId="12">
    <w:abstractNumId w:val="10"/>
  </w:num>
  <w:num w:numId="13">
    <w:abstractNumId w:val="16"/>
  </w:num>
  <w:num w:numId="14">
    <w:abstractNumId w:val="11"/>
  </w:num>
  <w:num w:numId="15">
    <w:abstractNumId w:val="3"/>
  </w:num>
  <w:num w:numId="16">
    <w:abstractNumId w:val="3"/>
    <w:lvlOverride w:ilvl="0">
      <w:startOverride w:val="1"/>
    </w:lvlOverride>
  </w:num>
  <w:num w:numId="17">
    <w:abstractNumId w:val="19"/>
  </w:num>
  <w:num w:numId="18">
    <w:abstractNumId w:val="8"/>
  </w:num>
  <w:num w:numId="19">
    <w:abstractNumId w:val="4"/>
  </w:num>
  <w:num w:numId="20">
    <w:abstractNumId w:val="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88"/>
    <w:rsid w:val="000762B7"/>
    <w:rsid w:val="00095863"/>
    <w:rsid w:val="00120BB9"/>
    <w:rsid w:val="001413B6"/>
    <w:rsid w:val="0015314A"/>
    <w:rsid w:val="00161691"/>
    <w:rsid w:val="00161CFF"/>
    <w:rsid w:val="00185261"/>
    <w:rsid w:val="001A4B5A"/>
    <w:rsid w:val="001B2C88"/>
    <w:rsid w:val="001B5561"/>
    <w:rsid w:val="001E62D9"/>
    <w:rsid w:val="001F71D6"/>
    <w:rsid w:val="002109E1"/>
    <w:rsid w:val="0024751D"/>
    <w:rsid w:val="0026461C"/>
    <w:rsid w:val="002662D1"/>
    <w:rsid w:val="00277510"/>
    <w:rsid w:val="002A471F"/>
    <w:rsid w:val="002B7744"/>
    <w:rsid w:val="002C2BFA"/>
    <w:rsid w:val="00306D2E"/>
    <w:rsid w:val="003D4039"/>
    <w:rsid w:val="00426139"/>
    <w:rsid w:val="0047500D"/>
    <w:rsid w:val="0047661E"/>
    <w:rsid w:val="00496311"/>
    <w:rsid w:val="005035AB"/>
    <w:rsid w:val="0052186E"/>
    <w:rsid w:val="005D788A"/>
    <w:rsid w:val="00693858"/>
    <w:rsid w:val="006A2CBB"/>
    <w:rsid w:val="006B6C53"/>
    <w:rsid w:val="006C06E7"/>
    <w:rsid w:val="006C0FB9"/>
    <w:rsid w:val="006C3EE4"/>
    <w:rsid w:val="007255F2"/>
    <w:rsid w:val="007C5533"/>
    <w:rsid w:val="007F64DD"/>
    <w:rsid w:val="008A0E51"/>
    <w:rsid w:val="008E7E4B"/>
    <w:rsid w:val="00900617"/>
    <w:rsid w:val="00917F59"/>
    <w:rsid w:val="00926410"/>
    <w:rsid w:val="009419A4"/>
    <w:rsid w:val="00957AC4"/>
    <w:rsid w:val="009951F8"/>
    <w:rsid w:val="009C22D3"/>
    <w:rsid w:val="009D50EE"/>
    <w:rsid w:val="009E4E3A"/>
    <w:rsid w:val="00A26FED"/>
    <w:rsid w:val="00A55822"/>
    <w:rsid w:val="00AD6594"/>
    <w:rsid w:val="00AE5B2F"/>
    <w:rsid w:val="00AF0BF1"/>
    <w:rsid w:val="00AF4AE6"/>
    <w:rsid w:val="00B028C2"/>
    <w:rsid w:val="00B14694"/>
    <w:rsid w:val="00B37B54"/>
    <w:rsid w:val="00B8511F"/>
    <w:rsid w:val="00BC32A5"/>
    <w:rsid w:val="00C324DE"/>
    <w:rsid w:val="00C40A69"/>
    <w:rsid w:val="00C54A5C"/>
    <w:rsid w:val="00C72151"/>
    <w:rsid w:val="00CE59A7"/>
    <w:rsid w:val="00D23345"/>
    <w:rsid w:val="00DA19DD"/>
    <w:rsid w:val="00DB5EDD"/>
    <w:rsid w:val="00E07BCE"/>
    <w:rsid w:val="00E17428"/>
    <w:rsid w:val="00E571AC"/>
    <w:rsid w:val="00EB307B"/>
    <w:rsid w:val="00ED147A"/>
    <w:rsid w:val="00F51AC7"/>
    <w:rsid w:val="00F57B4D"/>
    <w:rsid w:val="00F6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2364A"/>
  <w15:docId w15:val="{72460B03-0AFA-4C57-8516-671CCE32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5C"/>
    <w:pPr>
      <w:spacing w:after="0" w:line="240" w:lineRule="auto"/>
    </w:pPr>
    <w:rPr>
      <w:sz w:val="24"/>
      <w:szCs w:val="24"/>
    </w:rPr>
  </w:style>
  <w:style w:type="paragraph" w:styleId="Heading1">
    <w:name w:val="heading 1"/>
    <w:aliases w:val="H1-Chap. Head"/>
    <w:basedOn w:val="Normal"/>
    <w:link w:val="Heading1Char"/>
    <w:qFormat/>
    <w:rsid w:val="00C54A5C"/>
    <w:pPr>
      <w:keepNext/>
      <w:tabs>
        <w:tab w:val="left" w:pos="1152"/>
      </w:tabs>
      <w:spacing w:after="360" w:line="620" w:lineRule="atLeast"/>
      <w:outlineLvl w:val="0"/>
    </w:pPr>
    <w:rPr>
      <w:rFonts w:eastAsia="Times New Roman" w:cstheme="minorHAnsi"/>
      <w:b/>
      <w:color w:val="356DA2"/>
      <w:sz w:val="48"/>
      <w:szCs w:val="48"/>
    </w:rPr>
  </w:style>
  <w:style w:type="paragraph" w:styleId="Heading2">
    <w:name w:val="heading 2"/>
    <w:aliases w:val="H2-Sec. Head"/>
    <w:basedOn w:val="Normal"/>
    <w:next w:val="Normal"/>
    <w:link w:val="Heading2Char"/>
    <w:unhideWhenUsed/>
    <w:qFormat/>
    <w:rsid w:val="00C54A5C"/>
    <w:pPr>
      <w:keepNext/>
      <w:tabs>
        <w:tab w:val="left" w:pos="1152"/>
      </w:tabs>
      <w:spacing w:after="72" w:line="440" w:lineRule="atLeast"/>
      <w:ind w:left="1152" w:hanging="1152"/>
      <w:outlineLvl w:val="1"/>
    </w:pPr>
    <w:rPr>
      <w:rFonts w:eastAsia="Times New Roman" w:cstheme="minorHAnsi"/>
      <w:color w:val="328612"/>
      <w:sz w:val="36"/>
      <w:szCs w:val="36"/>
    </w:rPr>
  </w:style>
  <w:style w:type="paragraph" w:styleId="Heading3">
    <w:name w:val="heading 3"/>
    <w:aliases w:val="H3-Sec. Head"/>
    <w:basedOn w:val="Normal"/>
    <w:next w:val="Normal"/>
    <w:link w:val="Heading3Char"/>
    <w:unhideWhenUsed/>
    <w:qFormat/>
    <w:rsid w:val="00C54A5C"/>
    <w:pPr>
      <w:keepNext/>
      <w:tabs>
        <w:tab w:val="left" w:pos="1152"/>
      </w:tabs>
      <w:spacing w:before="120" w:after="72" w:line="380" w:lineRule="atLeast"/>
      <w:ind w:left="1152" w:hanging="1152"/>
      <w:outlineLvl w:val="2"/>
    </w:pPr>
    <w:rPr>
      <w:rFonts w:eastAsia="Times New Roman" w:cstheme="minorHAnsi"/>
      <w:b/>
      <w:color w:val="356DA2"/>
      <w:sz w:val="32"/>
      <w:szCs w:val="32"/>
    </w:rPr>
  </w:style>
  <w:style w:type="paragraph" w:styleId="Heading4">
    <w:name w:val="heading 4"/>
    <w:aliases w:val="H4-Sec. Head"/>
    <w:basedOn w:val="Normal"/>
    <w:next w:val="Normal"/>
    <w:link w:val="Heading4Char"/>
    <w:unhideWhenUsed/>
    <w:qFormat/>
    <w:rsid w:val="00C54A5C"/>
    <w:pPr>
      <w:keepNext/>
      <w:tabs>
        <w:tab w:val="left" w:pos="1152"/>
      </w:tabs>
      <w:spacing w:after="70" w:line="280" w:lineRule="atLeast"/>
      <w:ind w:left="1152" w:hanging="1152"/>
      <w:outlineLvl w:val="3"/>
    </w:pPr>
    <w:rPr>
      <w:rFonts w:eastAsia="Times New Roman" w:cstheme="minorHAnsi"/>
      <w:color w:val="356D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8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7F59"/>
    <w:rPr>
      <w:rFonts w:ascii="Tahoma" w:hAnsi="Tahoma" w:cs="Tahoma"/>
      <w:sz w:val="16"/>
      <w:szCs w:val="16"/>
    </w:rPr>
  </w:style>
  <w:style w:type="character" w:customStyle="1" w:styleId="BalloonTextChar">
    <w:name w:val="Balloon Text Char"/>
    <w:basedOn w:val="DefaultParagraphFont"/>
    <w:link w:val="BalloonText"/>
    <w:uiPriority w:val="99"/>
    <w:semiHidden/>
    <w:rsid w:val="00917F59"/>
    <w:rPr>
      <w:rFonts w:ascii="Tahoma" w:hAnsi="Tahoma" w:cs="Tahoma"/>
      <w:sz w:val="16"/>
      <w:szCs w:val="16"/>
    </w:rPr>
  </w:style>
  <w:style w:type="character" w:styleId="CommentReference">
    <w:name w:val="annotation reference"/>
    <w:basedOn w:val="DefaultParagraphFont"/>
    <w:uiPriority w:val="99"/>
    <w:semiHidden/>
    <w:unhideWhenUsed/>
    <w:rsid w:val="00917F59"/>
    <w:rPr>
      <w:sz w:val="16"/>
      <w:szCs w:val="16"/>
    </w:rPr>
  </w:style>
  <w:style w:type="paragraph" w:styleId="CommentText">
    <w:name w:val="annotation text"/>
    <w:basedOn w:val="Normal"/>
    <w:link w:val="CommentTextChar"/>
    <w:uiPriority w:val="99"/>
    <w:semiHidden/>
    <w:unhideWhenUsed/>
    <w:rsid w:val="00917F59"/>
    <w:rPr>
      <w:sz w:val="20"/>
      <w:szCs w:val="20"/>
    </w:rPr>
  </w:style>
  <w:style w:type="character" w:customStyle="1" w:styleId="CommentTextChar">
    <w:name w:val="Comment Text Char"/>
    <w:basedOn w:val="DefaultParagraphFont"/>
    <w:link w:val="CommentText"/>
    <w:uiPriority w:val="99"/>
    <w:semiHidden/>
    <w:rsid w:val="00917F59"/>
    <w:rPr>
      <w:sz w:val="20"/>
      <w:szCs w:val="20"/>
    </w:rPr>
  </w:style>
  <w:style w:type="paragraph" w:styleId="CommentSubject">
    <w:name w:val="annotation subject"/>
    <w:basedOn w:val="CommentText"/>
    <w:next w:val="CommentText"/>
    <w:link w:val="CommentSubjectChar"/>
    <w:uiPriority w:val="99"/>
    <w:semiHidden/>
    <w:unhideWhenUsed/>
    <w:rsid w:val="00917F59"/>
    <w:rPr>
      <w:b/>
      <w:bCs/>
    </w:rPr>
  </w:style>
  <w:style w:type="character" w:customStyle="1" w:styleId="CommentSubjectChar">
    <w:name w:val="Comment Subject Char"/>
    <w:basedOn w:val="CommentTextChar"/>
    <w:link w:val="CommentSubject"/>
    <w:uiPriority w:val="99"/>
    <w:semiHidden/>
    <w:rsid w:val="00917F59"/>
    <w:rPr>
      <w:b/>
      <w:bCs/>
      <w:sz w:val="20"/>
      <w:szCs w:val="20"/>
    </w:rPr>
  </w:style>
  <w:style w:type="paragraph" w:styleId="ListParagraph">
    <w:name w:val="List Paragraph"/>
    <w:basedOn w:val="Normal"/>
    <w:uiPriority w:val="34"/>
    <w:qFormat/>
    <w:rsid w:val="00185261"/>
    <w:pPr>
      <w:ind w:left="720"/>
      <w:contextualSpacing/>
    </w:pPr>
  </w:style>
  <w:style w:type="character" w:customStyle="1" w:styleId="Heading1Char">
    <w:name w:val="Heading 1 Char"/>
    <w:aliases w:val="H1-Chap. Head Char"/>
    <w:basedOn w:val="DefaultParagraphFont"/>
    <w:link w:val="Heading1"/>
    <w:rsid w:val="00C54A5C"/>
    <w:rPr>
      <w:rFonts w:eastAsia="Times New Roman" w:cstheme="minorHAnsi"/>
      <w:b/>
      <w:color w:val="356DA2"/>
      <w:sz w:val="48"/>
      <w:szCs w:val="48"/>
    </w:rPr>
  </w:style>
  <w:style w:type="character" w:customStyle="1" w:styleId="Heading2Char">
    <w:name w:val="Heading 2 Char"/>
    <w:aliases w:val="H2-Sec. Head Char"/>
    <w:basedOn w:val="DefaultParagraphFont"/>
    <w:link w:val="Heading2"/>
    <w:rsid w:val="00C54A5C"/>
    <w:rPr>
      <w:rFonts w:eastAsia="Times New Roman" w:cstheme="minorHAnsi"/>
      <w:color w:val="328612"/>
      <w:sz w:val="36"/>
      <w:szCs w:val="36"/>
    </w:rPr>
  </w:style>
  <w:style w:type="character" w:customStyle="1" w:styleId="Heading3Char">
    <w:name w:val="Heading 3 Char"/>
    <w:aliases w:val="H3-Sec. Head Char"/>
    <w:basedOn w:val="DefaultParagraphFont"/>
    <w:link w:val="Heading3"/>
    <w:rsid w:val="00C54A5C"/>
    <w:rPr>
      <w:rFonts w:eastAsia="Times New Roman" w:cstheme="minorHAnsi"/>
      <w:b/>
      <w:color w:val="356DA2"/>
      <w:sz w:val="32"/>
      <w:szCs w:val="32"/>
    </w:rPr>
  </w:style>
  <w:style w:type="character" w:customStyle="1" w:styleId="Heading4Char">
    <w:name w:val="Heading 4 Char"/>
    <w:aliases w:val="H4-Sec. Head Char"/>
    <w:basedOn w:val="DefaultParagraphFont"/>
    <w:link w:val="Heading4"/>
    <w:rsid w:val="00C54A5C"/>
    <w:rPr>
      <w:rFonts w:eastAsia="Times New Roman" w:cstheme="minorHAnsi"/>
      <w:color w:val="356DA2"/>
      <w:sz w:val="26"/>
      <w:szCs w:val="26"/>
    </w:rPr>
  </w:style>
  <w:style w:type="paragraph" w:styleId="Header">
    <w:name w:val="header"/>
    <w:basedOn w:val="Normal"/>
    <w:link w:val="HeaderChar"/>
    <w:autoRedefine/>
    <w:uiPriority w:val="99"/>
    <w:unhideWhenUsed/>
    <w:rsid w:val="00C54A5C"/>
    <w:pPr>
      <w:tabs>
        <w:tab w:val="center" w:pos="4680"/>
        <w:tab w:val="right" w:pos="9360"/>
      </w:tabs>
      <w:spacing w:after="480"/>
      <w:ind w:left="-360"/>
    </w:pPr>
    <w:rPr>
      <w:b/>
      <w:color w:val="F99A1B"/>
    </w:rPr>
  </w:style>
  <w:style w:type="character" w:customStyle="1" w:styleId="HeaderChar">
    <w:name w:val="Header Char"/>
    <w:basedOn w:val="DefaultParagraphFont"/>
    <w:link w:val="Header"/>
    <w:uiPriority w:val="99"/>
    <w:rsid w:val="00C54A5C"/>
    <w:rPr>
      <w:b/>
      <w:color w:val="F99A1B"/>
      <w:sz w:val="24"/>
      <w:szCs w:val="24"/>
    </w:rPr>
  </w:style>
  <w:style w:type="paragraph" w:styleId="Footer">
    <w:name w:val="footer"/>
    <w:basedOn w:val="Normal"/>
    <w:link w:val="FooterChar"/>
    <w:uiPriority w:val="99"/>
    <w:unhideWhenUsed/>
    <w:rsid w:val="00C54A5C"/>
    <w:pPr>
      <w:tabs>
        <w:tab w:val="center" w:pos="4680"/>
        <w:tab w:val="right" w:pos="9360"/>
      </w:tabs>
    </w:pPr>
  </w:style>
  <w:style w:type="character" w:customStyle="1" w:styleId="FooterChar">
    <w:name w:val="Footer Char"/>
    <w:basedOn w:val="DefaultParagraphFont"/>
    <w:link w:val="Footer"/>
    <w:uiPriority w:val="99"/>
    <w:rsid w:val="00C54A5C"/>
    <w:rPr>
      <w:sz w:val="24"/>
      <w:szCs w:val="24"/>
    </w:rPr>
  </w:style>
  <w:style w:type="paragraph" w:customStyle="1" w:styleId="SL-FlLftSgl">
    <w:name w:val="SL-Fl Lft Sgl"/>
    <w:basedOn w:val="Normal"/>
    <w:rsid w:val="00C54A5C"/>
    <w:pPr>
      <w:spacing w:after="180" w:line="320" w:lineRule="atLeast"/>
    </w:pPr>
    <w:rPr>
      <w:rFonts w:ascii="Cambria" w:eastAsia="Times New Roman" w:hAnsi="Cambria" w:cs="Times New Roman"/>
      <w:color w:val="2F4550"/>
      <w:sz w:val="22"/>
      <w:szCs w:val="22"/>
    </w:rPr>
  </w:style>
  <w:style w:type="paragraph" w:customStyle="1" w:styleId="N1-1stBullet">
    <w:name w:val="N1-1st Bullet"/>
    <w:rsid w:val="00C54A5C"/>
    <w:pPr>
      <w:numPr>
        <w:numId w:val="20"/>
      </w:numPr>
      <w:spacing w:after="90" w:line="300" w:lineRule="atLeast"/>
    </w:pPr>
    <w:rPr>
      <w:rFonts w:ascii="Cambria" w:eastAsia="Times New Roman" w:hAnsi="Cambria" w:cs="Calibri"/>
      <w:color w:val="2F4550"/>
    </w:rPr>
  </w:style>
  <w:style w:type="paragraph" w:customStyle="1" w:styleId="N2-2ndBullet">
    <w:name w:val="N2-2nd Bullet"/>
    <w:rsid w:val="00C54A5C"/>
    <w:pPr>
      <w:numPr>
        <w:numId w:val="21"/>
      </w:numPr>
      <w:spacing w:after="90" w:line="300" w:lineRule="atLeast"/>
      <w:ind w:left="576" w:hanging="288"/>
    </w:pPr>
    <w:rPr>
      <w:rFonts w:ascii="Cambria" w:eastAsia="Times New Roman" w:hAnsi="Cambria" w:cstheme="minorHAnsi"/>
      <w:color w:val="2F4550"/>
    </w:rPr>
  </w:style>
  <w:style w:type="paragraph" w:customStyle="1" w:styleId="N3-3rdBullet">
    <w:name w:val="N3-3rd Bullet"/>
    <w:basedOn w:val="Normal"/>
    <w:rsid w:val="00C54A5C"/>
    <w:pPr>
      <w:numPr>
        <w:numId w:val="18"/>
      </w:numPr>
      <w:tabs>
        <w:tab w:val="clear" w:pos="2304"/>
      </w:tabs>
      <w:spacing w:after="180" w:line="300" w:lineRule="atLeast"/>
      <w:ind w:left="288" w:hanging="288"/>
    </w:pPr>
    <w:rPr>
      <w:rFonts w:ascii="Cambria" w:eastAsia="Times New Roman" w:hAnsi="Cambria" w:cs="Times New Roman"/>
      <w:color w:val="2F4550"/>
      <w:sz w:val="22"/>
      <w:szCs w:val="22"/>
    </w:rPr>
  </w:style>
  <w:style w:type="paragraph" w:customStyle="1" w:styleId="N4-4thBullet">
    <w:name w:val="N4-4th Bullet"/>
    <w:basedOn w:val="Normal"/>
    <w:rsid w:val="00C54A5C"/>
    <w:pPr>
      <w:numPr>
        <w:numId w:val="19"/>
      </w:numPr>
      <w:tabs>
        <w:tab w:val="clear" w:pos="2880"/>
      </w:tabs>
      <w:spacing w:after="180" w:line="300" w:lineRule="atLeast"/>
      <w:ind w:left="576" w:hanging="288"/>
    </w:pPr>
    <w:rPr>
      <w:rFonts w:ascii="Cambria" w:eastAsia="Times New Roman" w:hAnsi="Cambria" w:cs="Times New Roman"/>
      <w:color w:val="2F4550"/>
      <w:sz w:val="22"/>
      <w:szCs w:val="22"/>
    </w:rPr>
  </w:style>
  <w:style w:type="paragraph" w:customStyle="1" w:styleId="N7-3Block">
    <w:name w:val="N7-3&quot; Block"/>
    <w:basedOn w:val="Normal"/>
    <w:rsid w:val="00C54A5C"/>
    <w:pPr>
      <w:pBdr>
        <w:top w:val="single" w:sz="12" w:space="6" w:color="26A642"/>
        <w:bottom w:val="single" w:sz="12" w:space="6" w:color="26A642"/>
      </w:pBdr>
      <w:tabs>
        <w:tab w:val="left" w:pos="1152"/>
      </w:tabs>
      <w:spacing w:after="180" w:line="380" w:lineRule="atLeast"/>
      <w:ind w:left="360"/>
    </w:pPr>
    <w:rPr>
      <w:rFonts w:eastAsia="Times New Roman" w:cstheme="minorHAnsi"/>
      <w:color w:val="356DA2"/>
      <w:sz w:val="30"/>
      <w:szCs w:val="30"/>
    </w:rPr>
  </w:style>
  <w:style w:type="character" w:styleId="SubtleReference">
    <w:name w:val="Subtle Reference"/>
    <w:uiPriority w:val="31"/>
    <w:qFormat/>
    <w:rsid w:val="00C54A5C"/>
    <w:rPr>
      <w:b/>
      <w:sz w:val="22"/>
      <w:szCs w:val="22"/>
    </w:rPr>
  </w:style>
  <w:style w:type="paragraph" w:customStyle="1" w:styleId="Quote1">
    <w:name w:val="Quote 1"/>
    <w:basedOn w:val="N7-3Block"/>
    <w:qFormat/>
    <w:rsid w:val="00C54A5C"/>
    <w:pPr>
      <w:pBdr>
        <w:top w:val="single" w:sz="12" w:space="6" w:color="328612"/>
        <w:bottom w:val="single" w:sz="12" w:space="6" w:color="328612"/>
      </w:pBdr>
      <w:tabs>
        <w:tab w:val="clear" w:pos="1152"/>
      </w:tabs>
    </w:pPr>
  </w:style>
  <w:style w:type="table" w:styleId="TableGrid">
    <w:name w:val="Table Grid"/>
    <w:basedOn w:val="TableNormal"/>
    <w:uiPriority w:val="59"/>
    <w:rsid w:val="00C54A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TableTitle">
    <w:name w:val="TT-Table Title"/>
    <w:rsid w:val="00C54A5C"/>
    <w:pPr>
      <w:keepNext/>
      <w:tabs>
        <w:tab w:val="left" w:pos="1440"/>
      </w:tabs>
      <w:spacing w:before="80" w:after="140" w:line="300" w:lineRule="atLeast"/>
      <w:ind w:left="1440" w:hanging="1440"/>
    </w:pPr>
    <w:rPr>
      <w:rFonts w:ascii="Calibri" w:eastAsia="Times New Roman" w:hAnsi="Calibri" w:cs="Calibri"/>
      <w:b/>
      <w:color w:val="328612"/>
      <w:sz w:val="26"/>
      <w:szCs w:val="26"/>
    </w:rPr>
  </w:style>
  <w:style w:type="paragraph" w:customStyle="1" w:styleId="TH-TableHeading">
    <w:name w:val="TH-Table Heading"/>
    <w:basedOn w:val="TT-TableTitle"/>
    <w:rsid w:val="00C54A5C"/>
    <w:pPr>
      <w:spacing w:before="0" w:after="0" w:line="260" w:lineRule="atLeast"/>
      <w:ind w:left="0" w:firstLine="0"/>
    </w:pPr>
    <w:rPr>
      <w:color w:val="356DA2"/>
    </w:rPr>
  </w:style>
  <w:style w:type="paragraph" w:customStyle="1" w:styleId="TF-TblFN">
    <w:name w:val="TF-Tbl FN"/>
    <w:basedOn w:val="FootnoteText"/>
    <w:rsid w:val="00C54A5C"/>
    <w:pPr>
      <w:tabs>
        <w:tab w:val="left" w:pos="120"/>
      </w:tabs>
      <w:spacing w:after="60" w:line="200" w:lineRule="atLeast"/>
      <w:ind w:left="115" w:hanging="115"/>
    </w:pPr>
    <w:rPr>
      <w:rFonts w:eastAsia="Times New Roman" w:cstheme="minorHAnsi"/>
      <w:color w:val="356DA2"/>
      <w:sz w:val="16"/>
      <w:szCs w:val="16"/>
    </w:rPr>
  </w:style>
  <w:style w:type="paragraph" w:styleId="FootnoteText">
    <w:name w:val="footnote text"/>
    <w:basedOn w:val="Normal"/>
    <w:link w:val="FootnoteTextChar"/>
    <w:uiPriority w:val="99"/>
    <w:semiHidden/>
    <w:unhideWhenUsed/>
    <w:rsid w:val="00C54A5C"/>
    <w:rPr>
      <w:sz w:val="20"/>
      <w:szCs w:val="20"/>
    </w:rPr>
  </w:style>
  <w:style w:type="character" w:customStyle="1" w:styleId="FootnoteTextChar">
    <w:name w:val="Footnote Text Char"/>
    <w:basedOn w:val="DefaultParagraphFont"/>
    <w:link w:val="FootnoteText"/>
    <w:uiPriority w:val="99"/>
    <w:semiHidden/>
    <w:rsid w:val="00C54A5C"/>
    <w:rPr>
      <w:sz w:val="20"/>
      <w:szCs w:val="20"/>
    </w:rPr>
  </w:style>
  <w:style w:type="paragraph" w:customStyle="1" w:styleId="TS-TableSource">
    <w:name w:val="TS-Table Source"/>
    <w:basedOn w:val="TF-TblFN"/>
    <w:qFormat/>
    <w:rsid w:val="00C54A5C"/>
    <w:rPr>
      <w:color w:val="328612"/>
    </w:rPr>
  </w:style>
  <w:style w:type="paragraph" w:customStyle="1" w:styleId="TableText">
    <w:name w:val="Table Text"/>
    <w:qFormat/>
    <w:rsid w:val="00C54A5C"/>
    <w:pPr>
      <w:spacing w:after="0" w:line="260" w:lineRule="atLeast"/>
    </w:pPr>
    <w:rPr>
      <w:rFonts w:ascii="Calibri" w:eastAsia="Times New Roman" w:hAnsi="Calibri" w:cs="Times New Roman"/>
      <w:color w:val="356D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66923">
      <w:bodyDiv w:val="1"/>
      <w:marLeft w:val="0"/>
      <w:marRight w:val="0"/>
      <w:marTop w:val="0"/>
      <w:marBottom w:val="0"/>
      <w:divBdr>
        <w:top w:val="none" w:sz="0" w:space="0" w:color="auto"/>
        <w:left w:val="none" w:sz="0" w:space="0" w:color="auto"/>
        <w:bottom w:val="none" w:sz="0" w:space="0" w:color="auto"/>
        <w:right w:val="none" w:sz="0" w:space="0" w:color="auto"/>
      </w:divBdr>
    </w:div>
    <w:div w:id="1316647397">
      <w:bodyDiv w:val="1"/>
      <w:marLeft w:val="0"/>
      <w:marRight w:val="0"/>
      <w:marTop w:val="0"/>
      <w:marBottom w:val="0"/>
      <w:divBdr>
        <w:top w:val="none" w:sz="0" w:space="0" w:color="auto"/>
        <w:left w:val="none" w:sz="0" w:space="0" w:color="auto"/>
        <w:bottom w:val="none" w:sz="0" w:space="0" w:color="auto"/>
        <w:right w:val="none" w:sz="0" w:space="0" w:color="auto"/>
      </w:divBdr>
      <w:divsChild>
        <w:div w:id="2091534292">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58811_CCNetwork_Region5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238421871F945A99D1EF10B9C867C" ma:contentTypeVersion="6" ma:contentTypeDescription="Create a new document." ma:contentTypeScope="" ma:versionID="e9491c3f2d4244a1e7454f73201b7704">
  <xsd:schema xmlns:xsd="http://www.w3.org/2001/XMLSchema" xmlns:xs="http://www.w3.org/2001/XMLSchema" xmlns:p="http://schemas.microsoft.com/office/2006/metadata/properties" xmlns:ns2="4391b338-5b9c-4dc4-bc95-065b7b776b24" targetNamespace="http://schemas.microsoft.com/office/2006/metadata/properties" ma:root="true" ma:fieldsID="509e5ac4d437c89231106e5c9ed38164" ns2:_="">
    <xsd:import namespace="4391b338-5b9c-4dc4-bc95-065b7b776b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b338-5b9c-4dc4-bc95-065b7b776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A9DE8-50C2-4B53-B6AB-2A2B5D7EF767}">
  <ds:schemaRefs>
    <ds:schemaRef ds:uri="http://schemas.microsoft.com/sharepoint/v3/contenttype/forms"/>
  </ds:schemaRefs>
</ds:datastoreItem>
</file>

<file path=customXml/itemProps2.xml><?xml version="1.0" encoding="utf-8"?>
<ds:datastoreItem xmlns:ds="http://schemas.openxmlformats.org/officeDocument/2006/customXml" ds:itemID="{38A43F0D-043A-4E47-BB30-194F14BBB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555C27-D9E6-48E2-8AA3-FB495CB77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b338-5b9c-4dc4-bc95-065b7b77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58811_CCNetwork_Region5_Word Template.dotx</Template>
  <TotalTime>43</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Brandt</dc:creator>
  <cp:lastModifiedBy>Rachel Crowley</cp:lastModifiedBy>
  <cp:revision>6</cp:revision>
  <dcterms:created xsi:type="dcterms:W3CDTF">2021-02-04T20:11:00Z</dcterms:created>
  <dcterms:modified xsi:type="dcterms:W3CDTF">2022-06-15T18:30:00Z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0x010100698238421871F945A99D1EF10B9C867C</vt:lpwstr>
  </property>
</Properties>
</file>